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sz w:val="36"/>
        </w:rPr>
      </w:pPr>
      <w:bookmarkStart w:id="0" w:name="_Toc_4_4_0000000004"/>
    </w:p>
    <w:p>
      <w:pPr>
        <w:spacing w:before="0" w:after="0" w:line="240" w:lineRule="auto"/>
        <w:ind w:firstLine="0"/>
        <w:jc w:val="both"/>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spacing w:before="0" w:after="0" w:line="240" w:lineRule="auto"/>
        <w:ind w:firstLine="0"/>
        <w:jc w:val="center"/>
        <w:outlineLvl w:val="0"/>
        <w:rPr>
          <w:rFonts w:ascii="方正小标宋_GBK" w:hAnsi="方正小标宋_GBK" w:eastAsia="方正小标宋_GBK" w:cs="方正小标宋_GBK"/>
          <w:sz w:val="36"/>
        </w:rPr>
      </w:pPr>
    </w:p>
    <w:p>
      <w:pPr>
        <w:jc w:val="center"/>
        <w:rPr>
          <w:rFonts w:eastAsia="方正小标宋简体"/>
          <w:sz w:val="22"/>
          <w:szCs w:val="22"/>
        </w:rPr>
      </w:pPr>
      <w:r>
        <w:rPr>
          <w:rFonts w:eastAsia="方正小标宋简体"/>
          <w:color w:val="000000"/>
          <w:sz w:val="56"/>
          <w:szCs w:val="22"/>
          <w:lang w:eastAsia="zh-CN"/>
        </w:rPr>
        <w:t>项目支出绩效目标表</w:t>
      </w:r>
    </w:p>
    <w:p>
      <w:pPr>
        <w:jc w:val="center"/>
        <w:rPr>
          <w:rFonts w:eastAsia="方正小标宋简体"/>
          <w:sz w:val="52"/>
          <w:szCs w:val="52"/>
        </w:rPr>
      </w:pPr>
      <w:r>
        <w:rPr>
          <w:rFonts w:eastAsia="方正小标宋简体"/>
          <w:color w:val="000000"/>
          <w:sz w:val="52"/>
          <w:szCs w:val="52"/>
        </w:rPr>
        <w:t>（</w:t>
      </w:r>
      <w:r>
        <w:rPr>
          <w:rFonts w:eastAsia="方正小标宋简体"/>
          <w:color w:val="000000"/>
          <w:sz w:val="52"/>
          <w:szCs w:val="52"/>
          <w:lang w:eastAsia="zh-CN"/>
        </w:rPr>
        <w:t>202</w:t>
      </w:r>
      <w:r>
        <w:rPr>
          <w:rFonts w:hint="eastAsia" w:eastAsia="方正小标宋简体"/>
          <w:color w:val="000000"/>
          <w:sz w:val="52"/>
          <w:szCs w:val="52"/>
          <w:lang w:val="en-US" w:eastAsia="zh-CN"/>
        </w:rPr>
        <w:t>4</w:t>
      </w:r>
      <w:r>
        <w:rPr>
          <w:rFonts w:eastAsia="方正小标宋简体"/>
          <w:color w:val="000000"/>
          <w:sz w:val="52"/>
          <w:szCs w:val="52"/>
          <w:lang w:eastAsia="zh-CN"/>
        </w:rPr>
        <w:t>年</w:t>
      </w:r>
      <w:r>
        <w:rPr>
          <w:rFonts w:eastAsia="方正小标宋简体"/>
          <w:color w:val="000000"/>
          <w:sz w:val="52"/>
          <w:szCs w:val="52"/>
        </w:rPr>
        <w:t>）</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both"/>
        <w:outlineLvl w:val="0"/>
        <w:rPr>
          <w:rFonts w:ascii="方正小标宋_GBK" w:hAnsi="方正小标宋_GBK" w:eastAsia="方正小标宋_GBK" w:cs="方正小标宋_GBK"/>
          <w:sz w:val="36"/>
        </w:rPr>
      </w:pPr>
    </w:p>
    <w:p>
      <w:pPr>
        <w:spacing w:before="0" w:after="0" w:line="240" w:lineRule="auto"/>
        <w:ind w:firstLine="0"/>
        <w:jc w:val="center"/>
        <w:outlineLvl w:val="0"/>
      </w:pPr>
      <w:r>
        <w:rPr>
          <w:rFonts w:ascii="方正小标宋_GBK" w:hAnsi="方正小标宋_GBK" w:eastAsia="方正小标宋_GBK" w:cs="方正小标宋_GBK"/>
          <w:sz w:val="36"/>
        </w:rPr>
        <w:t>目    录</w:t>
      </w:r>
    </w:p>
    <w:p>
      <w:pPr>
        <w:pStyle w:val="4"/>
        <w:tabs>
          <w:tab w:val="right" w:leader="dot" w:pos="9282"/>
        </w:tabs>
      </w:pPr>
    </w:p>
    <w:p>
      <w:pPr>
        <w:pStyle w:val="4"/>
        <w:tabs>
          <w:tab w:val="right" w:leader="dot" w:pos="9282"/>
        </w:tabs>
        <w:spacing w:line="360" w:lineRule="auto"/>
      </w:pPr>
      <w:r>
        <w:fldChar w:fldCharType="begin"/>
      </w:r>
      <w:r>
        <w:instrText xml:space="preserve"> HYPERLINK \l "_Toc_4_4_0000000004" </w:instrText>
      </w:r>
      <w:r>
        <w:fldChar w:fldCharType="separate"/>
      </w:r>
      <w:r>
        <w:t>1.2024年度项目评审费绩效目标表</w:t>
      </w:r>
      <w:r>
        <w:fldChar w:fldCharType="end"/>
      </w:r>
    </w:p>
    <w:p>
      <w:pPr>
        <w:pStyle w:val="4"/>
        <w:tabs>
          <w:tab w:val="right" w:leader="dot" w:pos="9282"/>
        </w:tabs>
        <w:spacing w:line="360" w:lineRule="auto"/>
      </w:pPr>
      <w:r>
        <w:fldChar w:fldCharType="begin"/>
      </w:r>
      <w:r>
        <w:instrText xml:space="preserve"> HYPERLINK \l "_Toc_4_4_0000000005" </w:instrText>
      </w:r>
      <w:r>
        <w:fldChar w:fldCharType="separate"/>
      </w:r>
      <w:r>
        <w:t>2.2024年度应急清融雪设备维护保养费绩效目标表</w:t>
      </w:r>
      <w:r>
        <w:fldChar w:fldCharType="end"/>
      </w:r>
    </w:p>
    <w:p>
      <w:pPr>
        <w:pStyle w:val="4"/>
        <w:tabs>
          <w:tab w:val="right" w:leader="dot" w:pos="9282"/>
        </w:tabs>
        <w:spacing w:line="360" w:lineRule="auto"/>
      </w:pPr>
      <w:r>
        <w:fldChar w:fldCharType="begin"/>
      </w:r>
      <w:r>
        <w:instrText xml:space="preserve"> HYPERLINK \l "_Toc_4_4_0000000006" </w:instrText>
      </w:r>
      <w:r>
        <w:fldChar w:fldCharType="separate"/>
      </w:r>
      <w:r>
        <w:t>3.2024年外环线外侧500米绿化带养护管理项目绩效目标表</w:t>
      </w:r>
      <w:r>
        <w:fldChar w:fldCharType="end"/>
      </w:r>
    </w:p>
    <w:p>
      <w:pPr>
        <w:pStyle w:val="4"/>
        <w:tabs>
          <w:tab w:val="right" w:leader="dot" w:pos="9282"/>
        </w:tabs>
        <w:spacing w:line="360" w:lineRule="auto"/>
      </w:pPr>
      <w:r>
        <w:fldChar w:fldCharType="begin"/>
      </w:r>
      <w:r>
        <w:instrText xml:space="preserve"> HYPERLINK \l "_Toc_4_4_0000000007" </w:instrText>
      </w:r>
      <w:r>
        <w:fldChar w:fldCharType="separate"/>
      </w:r>
      <w:r>
        <w:t>4.考核处2024年度城市管理“以奖代补”公众测评项目绩效目标表</w:t>
      </w:r>
      <w:r>
        <w:fldChar w:fldCharType="end"/>
      </w:r>
    </w:p>
    <w:p>
      <w:pPr>
        <w:pStyle w:val="4"/>
        <w:tabs>
          <w:tab w:val="right" w:leader="dot" w:pos="9282"/>
        </w:tabs>
        <w:spacing w:line="360" w:lineRule="auto"/>
      </w:pPr>
      <w:r>
        <w:fldChar w:fldCharType="begin"/>
      </w:r>
      <w:r>
        <w:instrText xml:space="preserve"> HYPERLINK \l "_Toc_4_4_0000000008" </w:instrText>
      </w:r>
      <w:r>
        <w:fldChar w:fldCharType="separate"/>
      </w:r>
      <w:r>
        <w:t>5.路灯处2024年度海河桥梁维护经费项目绩效目标表</w:t>
      </w:r>
      <w:r>
        <w:fldChar w:fldCharType="end"/>
      </w:r>
    </w:p>
    <w:p>
      <w:pPr>
        <w:pStyle w:val="4"/>
        <w:tabs>
          <w:tab w:val="right" w:leader="dot" w:pos="9282"/>
        </w:tabs>
        <w:spacing w:line="360" w:lineRule="auto"/>
      </w:pPr>
      <w:r>
        <w:fldChar w:fldCharType="begin"/>
      </w:r>
      <w:r>
        <w:instrText xml:space="preserve"> HYPERLINK \l "_Toc_4_4_0000000009" </w:instrText>
      </w:r>
      <w:r>
        <w:fldChar w:fldCharType="separate"/>
      </w:r>
      <w:r>
        <w:t>6.路灯处2024年度路灯维护费绩效目标表</w:t>
      </w:r>
      <w:r>
        <w:fldChar w:fldCharType="end"/>
      </w:r>
    </w:p>
    <w:p>
      <w:pPr>
        <w:pStyle w:val="4"/>
        <w:tabs>
          <w:tab w:val="right" w:leader="dot" w:pos="9282"/>
        </w:tabs>
        <w:spacing w:line="360" w:lineRule="auto"/>
      </w:pPr>
      <w:r>
        <w:fldChar w:fldCharType="begin"/>
      </w:r>
      <w:r>
        <w:instrText xml:space="preserve"> HYPERLINK \l "_Toc_4_4_0000000010" </w:instrText>
      </w:r>
      <w:r>
        <w:fldChar w:fldCharType="separate"/>
      </w:r>
      <w:r>
        <w:t>7.2024年度道桥维修质量监督检查项目绩效目标表</w:t>
      </w:r>
      <w:r>
        <w:fldChar w:fldCharType="end"/>
      </w:r>
    </w:p>
    <w:p>
      <w:pPr>
        <w:pStyle w:val="4"/>
        <w:tabs>
          <w:tab w:val="right" w:leader="dot" w:pos="9282"/>
        </w:tabs>
        <w:spacing w:line="360" w:lineRule="auto"/>
      </w:pPr>
      <w:r>
        <w:fldChar w:fldCharType="begin"/>
      </w:r>
      <w:r>
        <w:instrText xml:space="preserve"> HYPERLINK \l "_Toc_4_4_0000000011" </w:instrText>
      </w:r>
      <w:r>
        <w:fldChar w:fldCharType="separate"/>
      </w:r>
      <w:r>
        <w:t>8.2024年度环卫工人慰问项目绩效目标表</w:t>
      </w:r>
      <w:r>
        <w:fldChar w:fldCharType="end"/>
      </w:r>
    </w:p>
    <w:p>
      <w:pPr>
        <w:pStyle w:val="4"/>
        <w:tabs>
          <w:tab w:val="right" w:leader="dot" w:pos="9282"/>
        </w:tabs>
        <w:spacing w:line="360" w:lineRule="auto"/>
      </w:pPr>
      <w:r>
        <w:fldChar w:fldCharType="begin"/>
      </w:r>
      <w:r>
        <w:instrText xml:space="preserve"> HYPERLINK \l "_Toc_4_4_0000000012" </w:instrText>
      </w:r>
      <w:r>
        <w:fldChar w:fldCharType="separate"/>
      </w:r>
      <w:r>
        <w:t>9.2024年度预算关于2023年燃气管道场站监督检查尾款绩效目标表</w:t>
      </w:r>
      <w:r>
        <w:fldChar w:fldCharType="end"/>
      </w:r>
    </w:p>
    <w:p>
      <w:pPr>
        <w:pStyle w:val="4"/>
        <w:tabs>
          <w:tab w:val="right" w:leader="dot" w:pos="9282"/>
        </w:tabs>
        <w:spacing w:line="360" w:lineRule="auto"/>
      </w:pPr>
      <w:r>
        <w:fldChar w:fldCharType="begin"/>
      </w:r>
      <w:r>
        <w:instrText xml:space="preserve"> HYPERLINK \l "_Toc_4_4_0000000013" </w:instrText>
      </w:r>
      <w:r>
        <w:fldChar w:fldCharType="separate"/>
      </w:r>
      <w:r>
        <w:t>10.2024年度预算关于支付2022年对养护维修工程质量实施监督检查合同款项目绩效目标表</w:t>
      </w:r>
      <w:r>
        <w:fldChar w:fldCharType="end"/>
      </w:r>
    </w:p>
    <w:p>
      <w:pPr>
        <w:pStyle w:val="4"/>
        <w:tabs>
          <w:tab w:val="right" w:leader="dot" w:pos="9282"/>
        </w:tabs>
        <w:spacing w:line="360" w:lineRule="auto"/>
      </w:pPr>
      <w:r>
        <w:fldChar w:fldCharType="begin"/>
      </w:r>
      <w:r>
        <w:instrText xml:space="preserve"> HYPERLINK \l "_Toc_4_4_0000000014" </w:instrText>
      </w:r>
      <w:r>
        <w:fldChar w:fldCharType="separate"/>
      </w:r>
      <w:r>
        <w:t>11.2024年一般债付息绩效目标表</w:t>
      </w:r>
      <w:r>
        <w:fldChar w:fldCharType="end"/>
      </w:r>
    </w:p>
    <w:p>
      <w:pPr>
        <w:pStyle w:val="4"/>
        <w:tabs>
          <w:tab w:val="right" w:leader="dot" w:pos="9282"/>
        </w:tabs>
        <w:spacing w:line="360" w:lineRule="auto"/>
      </w:pPr>
      <w:r>
        <w:fldChar w:fldCharType="begin"/>
      </w:r>
      <w:r>
        <w:instrText xml:space="preserve"> HYPERLINK \l "_Toc_4_4_0000000015" </w:instrText>
      </w:r>
      <w:r>
        <w:fldChar w:fldCharType="separate"/>
      </w:r>
      <w:r>
        <w:t>12.2024年专项债付息（能源集团）绩效目标表</w:t>
      </w:r>
      <w:r>
        <w:fldChar w:fldCharType="end"/>
      </w:r>
    </w:p>
    <w:p>
      <w:pPr>
        <w:pStyle w:val="4"/>
        <w:tabs>
          <w:tab w:val="right" w:leader="dot" w:pos="9282"/>
        </w:tabs>
        <w:spacing w:line="360" w:lineRule="auto"/>
      </w:pPr>
      <w:r>
        <w:fldChar w:fldCharType="begin"/>
      </w:r>
      <w:r>
        <w:instrText xml:space="preserve"> HYPERLINK \l "_Toc_4_4_0000000016" </w:instrText>
      </w:r>
      <w:r>
        <w:fldChar w:fldCharType="separate"/>
      </w:r>
      <w:r>
        <w:t>13.2024年专项债付息（土地）绩效目标表</w:t>
      </w:r>
      <w:r>
        <w:fldChar w:fldCharType="end"/>
      </w:r>
    </w:p>
    <w:p>
      <w:pPr>
        <w:pStyle w:val="4"/>
        <w:tabs>
          <w:tab w:val="right" w:leader="dot" w:pos="9282"/>
        </w:tabs>
        <w:spacing w:line="360" w:lineRule="auto"/>
      </w:pPr>
      <w:r>
        <w:fldChar w:fldCharType="begin"/>
      </w:r>
      <w:r>
        <w:instrText xml:space="preserve"> HYPERLINK \l "_Toc_4_4_0000000017" </w:instrText>
      </w:r>
      <w:r>
        <w:fldChar w:fldCharType="separate"/>
      </w:r>
      <w:r>
        <w:t>14.路灯处2024年度预算关于2023年路灯地下管线普查测绘项目尾款绩效目标表</w:t>
      </w:r>
      <w:r>
        <w:fldChar w:fldCharType="end"/>
      </w:r>
    </w:p>
    <w:p>
      <w:pPr>
        <w:pStyle w:val="4"/>
        <w:tabs>
          <w:tab w:val="right" w:leader="dot" w:pos="9282"/>
        </w:tabs>
        <w:spacing w:line="360" w:lineRule="auto"/>
      </w:pPr>
      <w:r>
        <w:fldChar w:fldCharType="begin"/>
      </w:r>
      <w:r>
        <w:instrText xml:space="preserve"> HYPERLINK \l "_Toc_4_4_0000000018" </w:instrText>
      </w:r>
      <w:r>
        <w:fldChar w:fldCharType="separate"/>
      </w:r>
      <w:r>
        <w:t>15.梅江公园（二期）工程绩效目标表</w:t>
      </w:r>
      <w:r>
        <w:fldChar w:fldCharType="end"/>
      </w:r>
    </w:p>
    <w:p>
      <w:pPr>
        <w:ind w:firstLine="560"/>
        <w:outlineLvl w:val="3"/>
      </w:pPr>
      <w:bookmarkStart w:id="15" w:name="_GoBack"/>
      <w:bookmarkEnd w:id="15"/>
      <w:r>
        <w:rPr>
          <w:rFonts w:ascii="方正仿宋_GBK" w:hAnsi="方正仿宋_GBK" w:eastAsia="方正仿宋_GBK" w:cs="方正仿宋_GBK"/>
          <w:sz w:val="28"/>
        </w:rPr>
        <w:t>1.2024年度项目评审费绩效目标表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2024年度项目评审费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122.00</w:t>
            </w:r>
          </w:p>
        </w:tc>
        <w:tc>
          <w:tcPr>
            <w:tcW w:w="1587" w:type="dxa"/>
            <w:vAlign w:val="center"/>
          </w:tcPr>
          <w:p>
            <w:pPr>
              <w:pStyle w:val="16"/>
            </w:pPr>
            <w:r>
              <w:t>其中：财政    资金</w:t>
            </w:r>
          </w:p>
        </w:tc>
        <w:tc>
          <w:tcPr>
            <w:tcW w:w="1843" w:type="dxa"/>
            <w:vAlign w:val="center"/>
          </w:tcPr>
          <w:p>
            <w:pPr>
              <w:pStyle w:val="15"/>
            </w:pPr>
            <w:r>
              <w:t>122.00</w:t>
            </w:r>
          </w:p>
        </w:tc>
        <w:tc>
          <w:tcPr>
            <w:tcW w:w="1276" w:type="dxa"/>
            <w:vAlign w:val="center"/>
          </w:tcPr>
          <w:p>
            <w:pPr>
              <w:pStyle w:val="16"/>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项目评审费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1.完成对委属单位部分基建项目竣工财务决算审核批复工作，有效提高委系统基建项目管理水平。</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完成评审评价评估项目数量</w:t>
            </w:r>
          </w:p>
        </w:tc>
        <w:tc>
          <w:tcPr>
            <w:tcW w:w="3430" w:type="dxa"/>
            <w:vAlign w:val="center"/>
          </w:tcPr>
          <w:p>
            <w:pPr>
              <w:pStyle w:val="15"/>
            </w:pPr>
            <w:r>
              <w:t>反映完成评审评价评估项目数量情况</w:t>
            </w:r>
          </w:p>
        </w:tc>
        <w:tc>
          <w:tcPr>
            <w:tcW w:w="2551" w:type="dxa"/>
            <w:vAlign w:val="center"/>
          </w:tcPr>
          <w:p>
            <w:pPr>
              <w:pStyle w:val="15"/>
            </w:pPr>
            <w:r>
              <w:t>≥5个</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评审评价评估报告质量合格率</w:t>
            </w:r>
          </w:p>
        </w:tc>
        <w:tc>
          <w:tcPr>
            <w:tcW w:w="3430" w:type="dxa"/>
            <w:vAlign w:val="center"/>
          </w:tcPr>
          <w:p>
            <w:pPr>
              <w:pStyle w:val="15"/>
            </w:pPr>
            <w:r>
              <w:t>反映完成评审评价评估报告质量情况，报告质量合格份数与报告总数的比值</w:t>
            </w:r>
          </w:p>
        </w:tc>
        <w:tc>
          <w:tcPr>
            <w:tcW w:w="2551" w:type="dxa"/>
            <w:vAlign w:val="center"/>
          </w:tcPr>
          <w:p>
            <w:pPr>
              <w:pStyle w:val="15"/>
            </w:pPr>
            <w:r>
              <w:t>≥95%</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项目完成及时性</w:t>
            </w:r>
          </w:p>
        </w:tc>
        <w:tc>
          <w:tcPr>
            <w:tcW w:w="3430" w:type="dxa"/>
            <w:vAlign w:val="center"/>
          </w:tcPr>
          <w:p>
            <w:pPr>
              <w:pStyle w:val="15"/>
            </w:pPr>
            <w:r>
              <w:t>反映项目完成的及时程度和效率情况</w:t>
            </w:r>
          </w:p>
        </w:tc>
        <w:tc>
          <w:tcPr>
            <w:tcW w:w="2551" w:type="dxa"/>
            <w:vAlign w:val="center"/>
          </w:tcPr>
          <w:p>
            <w:pPr>
              <w:pStyle w:val="15"/>
            </w:pPr>
            <w:r>
              <w:t>按照合同约定时间完成</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3430" w:type="dxa"/>
            <w:vAlign w:val="center"/>
          </w:tcPr>
          <w:p>
            <w:pPr>
              <w:pStyle w:val="15"/>
            </w:pPr>
            <w:r>
              <w:t>反映项目总成本情况</w:t>
            </w:r>
          </w:p>
        </w:tc>
        <w:tc>
          <w:tcPr>
            <w:tcW w:w="2551" w:type="dxa"/>
            <w:vAlign w:val="center"/>
          </w:tcPr>
          <w:p>
            <w:pPr>
              <w:pStyle w:val="15"/>
            </w:pPr>
            <w:r>
              <w:t>≤122万元</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对减少项目投资误差的改善或影响成本</w:t>
            </w:r>
          </w:p>
        </w:tc>
        <w:tc>
          <w:tcPr>
            <w:tcW w:w="3430" w:type="dxa"/>
            <w:vAlign w:val="center"/>
          </w:tcPr>
          <w:p>
            <w:pPr>
              <w:pStyle w:val="15"/>
            </w:pPr>
            <w:r>
              <w:t>通过项目的实施对减少项目投资误差的改善或影响程度</w:t>
            </w:r>
          </w:p>
        </w:tc>
        <w:tc>
          <w:tcPr>
            <w:tcW w:w="2551" w:type="dxa"/>
            <w:vAlign w:val="center"/>
          </w:tcPr>
          <w:p>
            <w:pPr>
              <w:pStyle w:val="15"/>
            </w:pPr>
            <w:r>
              <w:t>改善较高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对提高行政运行效率及结果的影响程度</w:t>
            </w:r>
          </w:p>
        </w:tc>
        <w:tc>
          <w:tcPr>
            <w:tcW w:w="3430" w:type="dxa"/>
            <w:vAlign w:val="center"/>
          </w:tcPr>
          <w:p>
            <w:pPr>
              <w:pStyle w:val="15"/>
            </w:pPr>
            <w:r>
              <w:t>通过对报告成果运用、提高行政运行效率及结果的影响程度</w:t>
            </w:r>
          </w:p>
        </w:tc>
        <w:tc>
          <w:tcPr>
            <w:tcW w:w="2551" w:type="dxa"/>
            <w:vAlign w:val="center"/>
          </w:tcPr>
          <w:p>
            <w:pPr>
              <w:pStyle w:val="15"/>
            </w:pPr>
            <w:r>
              <w:t>改善较高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健全的评审评价评估管理制度为评审工作提供可持续保障</w:t>
            </w:r>
          </w:p>
        </w:tc>
        <w:tc>
          <w:tcPr>
            <w:tcW w:w="3430" w:type="dxa"/>
            <w:vAlign w:val="center"/>
          </w:tcPr>
          <w:p>
            <w:pPr>
              <w:pStyle w:val="15"/>
            </w:pPr>
            <w:r>
              <w:t>反映健全的评审评价评估管理制度为评审评价评估工作提供可持续保障程度</w:t>
            </w:r>
          </w:p>
        </w:tc>
        <w:tc>
          <w:tcPr>
            <w:tcW w:w="2551" w:type="dxa"/>
            <w:vAlign w:val="center"/>
          </w:tcPr>
          <w:p>
            <w:pPr>
              <w:pStyle w:val="15"/>
            </w:pPr>
            <w:r>
              <w:t xml:space="preserve">建立健全相关制度并予以落实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3430" w:type="dxa"/>
            <w:vAlign w:val="center"/>
          </w:tcPr>
          <w:p>
            <w:pPr>
              <w:pStyle w:val="15"/>
            </w:pPr>
            <w:r>
              <w:t>反映服务对象或项目受益人对相关产出及其影响的认可程度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 w:name="_Toc_4_4_0000000005"/>
      <w:r>
        <w:rPr>
          <w:rFonts w:ascii="方正仿宋_GBK" w:hAnsi="方正仿宋_GBK" w:eastAsia="方正仿宋_GBK" w:cs="方正仿宋_GBK"/>
          <w:sz w:val="28"/>
        </w:rPr>
        <w:t>2.2024年度应急清融雪设备维护保养费绩效目标表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2024年度应急清融雪设备维护保养费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26.50</w:t>
            </w:r>
          </w:p>
        </w:tc>
        <w:tc>
          <w:tcPr>
            <w:tcW w:w="1587" w:type="dxa"/>
            <w:vAlign w:val="center"/>
          </w:tcPr>
          <w:p>
            <w:pPr>
              <w:pStyle w:val="16"/>
            </w:pPr>
            <w:r>
              <w:t>其中：财政    资金</w:t>
            </w:r>
          </w:p>
        </w:tc>
        <w:tc>
          <w:tcPr>
            <w:tcW w:w="1843" w:type="dxa"/>
            <w:vAlign w:val="center"/>
          </w:tcPr>
          <w:p>
            <w:pPr>
              <w:pStyle w:val="15"/>
            </w:pPr>
            <w:r>
              <w:t>26.50</w:t>
            </w:r>
          </w:p>
        </w:tc>
        <w:tc>
          <w:tcPr>
            <w:tcW w:w="1276" w:type="dxa"/>
            <w:vAlign w:val="center"/>
          </w:tcPr>
          <w:p>
            <w:pPr>
              <w:pStyle w:val="16"/>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用于2024年度应急清融雪维护保养费。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1.保证清融雪设备正常运行</w:t>
            </w:r>
          </w:p>
          <w:p>
            <w:pPr>
              <w:pStyle w:val="15"/>
            </w:pPr>
            <w:r>
              <w:t>2.严格控制成本</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维护设备数量</w:t>
            </w:r>
          </w:p>
        </w:tc>
        <w:tc>
          <w:tcPr>
            <w:tcW w:w="3430" w:type="dxa"/>
            <w:vAlign w:val="center"/>
          </w:tcPr>
          <w:p>
            <w:pPr>
              <w:pStyle w:val="15"/>
            </w:pPr>
            <w:r>
              <w:t>反映维护、维修专用设备的数量情况</w:t>
            </w:r>
          </w:p>
        </w:tc>
        <w:tc>
          <w:tcPr>
            <w:tcW w:w="2551" w:type="dxa"/>
            <w:vAlign w:val="center"/>
          </w:tcPr>
          <w:p>
            <w:pPr>
              <w:pStyle w:val="15"/>
            </w:pPr>
            <w:r>
              <w:t>6台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设备故障率</w:t>
            </w:r>
          </w:p>
        </w:tc>
        <w:tc>
          <w:tcPr>
            <w:tcW w:w="3430" w:type="dxa"/>
            <w:vAlign w:val="center"/>
          </w:tcPr>
          <w:p>
            <w:pPr>
              <w:pStyle w:val="15"/>
            </w:pPr>
            <w:r>
              <w:t>设备故障率应控制在一定范围内</w:t>
            </w:r>
          </w:p>
        </w:tc>
        <w:tc>
          <w:tcPr>
            <w:tcW w:w="2551"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项目计划完成率</w:t>
            </w:r>
          </w:p>
        </w:tc>
        <w:tc>
          <w:tcPr>
            <w:tcW w:w="3430" w:type="dxa"/>
            <w:vAlign w:val="center"/>
          </w:tcPr>
          <w:p>
            <w:pPr>
              <w:pStyle w:val="15"/>
            </w:pPr>
            <w:r>
              <w:t>项目计划完成率</w:t>
            </w:r>
          </w:p>
        </w:tc>
        <w:tc>
          <w:tcPr>
            <w:tcW w:w="2551" w:type="dxa"/>
            <w:vAlign w:val="center"/>
          </w:tcPr>
          <w:p>
            <w:pPr>
              <w:pStyle w:val="15"/>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成本控制</w:t>
            </w:r>
          </w:p>
        </w:tc>
        <w:tc>
          <w:tcPr>
            <w:tcW w:w="3430" w:type="dxa"/>
            <w:vAlign w:val="center"/>
          </w:tcPr>
          <w:p>
            <w:pPr>
              <w:pStyle w:val="15"/>
            </w:pPr>
            <w:r>
              <w:t>按照计划完成维护保养工作，确保设备的良好状况。</w:t>
            </w:r>
          </w:p>
        </w:tc>
        <w:tc>
          <w:tcPr>
            <w:tcW w:w="2551" w:type="dxa"/>
            <w:vAlign w:val="center"/>
          </w:tcPr>
          <w:p>
            <w:pPr>
              <w:pStyle w:val="15"/>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延长设备使用寿命</w:t>
            </w:r>
          </w:p>
        </w:tc>
        <w:tc>
          <w:tcPr>
            <w:tcW w:w="3430" w:type="dxa"/>
            <w:vAlign w:val="center"/>
          </w:tcPr>
          <w:p>
            <w:pPr>
              <w:pStyle w:val="15"/>
            </w:pPr>
            <w:r>
              <w:t>延长设备使用寿命</w:t>
            </w:r>
          </w:p>
        </w:tc>
        <w:tc>
          <w:tcPr>
            <w:tcW w:w="2551" w:type="dxa"/>
            <w:vAlign w:val="center"/>
          </w:tcPr>
          <w:p>
            <w:pPr>
              <w:pStyle w:val="15"/>
            </w:pPr>
            <w:r>
              <w:t>≤26.5万元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隐患排除</w:t>
            </w:r>
          </w:p>
        </w:tc>
        <w:tc>
          <w:tcPr>
            <w:tcW w:w="3430" w:type="dxa"/>
            <w:vAlign w:val="center"/>
          </w:tcPr>
          <w:p>
            <w:pPr>
              <w:pStyle w:val="15"/>
            </w:pPr>
            <w:r>
              <w:t>在保证设备正常运行的前提下，排除安全隐患</w:t>
            </w:r>
          </w:p>
        </w:tc>
        <w:tc>
          <w:tcPr>
            <w:tcW w:w="2551" w:type="dxa"/>
            <w:vAlign w:val="center"/>
          </w:tcPr>
          <w:p>
            <w:pPr>
              <w:pStyle w:val="15"/>
            </w:pPr>
            <w:r>
              <w:t>事故率改善程度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生态效益指标</w:t>
            </w:r>
          </w:p>
        </w:tc>
        <w:tc>
          <w:tcPr>
            <w:tcW w:w="1332" w:type="dxa"/>
            <w:vAlign w:val="center"/>
          </w:tcPr>
          <w:p>
            <w:pPr>
              <w:pStyle w:val="15"/>
            </w:pPr>
            <w:r>
              <w:t>购置环保物资</w:t>
            </w:r>
          </w:p>
        </w:tc>
        <w:tc>
          <w:tcPr>
            <w:tcW w:w="3430" w:type="dxa"/>
            <w:vAlign w:val="center"/>
          </w:tcPr>
          <w:p>
            <w:pPr>
              <w:pStyle w:val="15"/>
            </w:pPr>
            <w:r>
              <w:t>专用设备排放物对环境的影响，是否满足环保要求。</w:t>
            </w:r>
          </w:p>
        </w:tc>
        <w:tc>
          <w:tcPr>
            <w:tcW w:w="2551" w:type="dxa"/>
            <w:vAlign w:val="center"/>
          </w:tcPr>
          <w:p>
            <w:pPr>
              <w:pStyle w:val="15"/>
            </w:pPr>
            <w:r>
              <w:t>影响程度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可持续影响</w:t>
            </w:r>
          </w:p>
        </w:tc>
        <w:tc>
          <w:tcPr>
            <w:tcW w:w="3430" w:type="dxa"/>
            <w:vAlign w:val="center"/>
          </w:tcPr>
          <w:p>
            <w:pPr>
              <w:pStyle w:val="15"/>
            </w:pPr>
            <w:r>
              <w:t>可持续影响</w:t>
            </w:r>
          </w:p>
        </w:tc>
        <w:tc>
          <w:tcPr>
            <w:tcW w:w="2551" w:type="dxa"/>
            <w:vAlign w:val="center"/>
          </w:tcPr>
          <w:p>
            <w:pPr>
              <w:pStyle w:val="15"/>
            </w:pPr>
            <w:r>
              <w:t>保证车辆在处理险情时达标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使用人员满意度</w:t>
            </w:r>
          </w:p>
        </w:tc>
        <w:tc>
          <w:tcPr>
            <w:tcW w:w="3430" w:type="dxa"/>
            <w:vAlign w:val="center"/>
          </w:tcPr>
          <w:p>
            <w:pPr>
              <w:pStyle w:val="15"/>
            </w:pPr>
            <w:r>
              <w:t>反映专用设备使用人员对车辆使用的满意度。</w:t>
            </w:r>
          </w:p>
        </w:tc>
        <w:tc>
          <w:tcPr>
            <w:tcW w:w="2551" w:type="dxa"/>
            <w:vAlign w:val="center"/>
          </w:tcPr>
          <w:p>
            <w:pPr>
              <w:pStyle w:val="15"/>
            </w:pPr>
            <w:r>
              <w:t>≥99项目设计标准</w:t>
            </w:r>
          </w:p>
        </w:tc>
      </w:tr>
    </w:tbl>
    <w:p>
      <w:pPr>
        <w:sectPr>
          <w:pgSz w:w="11900" w:h="16840"/>
          <w:pgMar w:top="1984" w:right="1304" w:bottom="1134" w:left="1304" w:header="720" w:footer="720" w:gutter="0"/>
          <w:cols w:space="720" w:num="1"/>
        </w:sectPr>
      </w:pPr>
    </w:p>
    <w:p>
      <w:pPr>
        <w:jc w:val="center"/>
      </w:pPr>
    </w:p>
    <w:p>
      <w:pPr>
        <w:ind w:firstLine="560"/>
        <w:outlineLvl w:val="3"/>
      </w:pPr>
      <w:bookmarkStart w:id="2" w:name="_Toc_4_4_0000000006"/>
      <w:r>
        <w:rPr>
          <w:rFonts w:ascii="方正仿宋_GBK" w:hAnsi="方正仿宋_GBK" w:eastAsia="方正仿宋_GBK" w:cs="方正仿宋_GBK"/>
          <w:sz w:val="28"/>
        </w:rPr>
        <w:t>3.2024年外环线外侧500米绿化带养护管理项目绩效目标表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2024年外环线外侧500米绿化带养护管理项目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18.46</w:t>
            </w:r>
          </w:p>
        </w:tc>
        <w:tc>
          <w:tcPr>
            <w:tcW w:w="1587" w:type="dxa"/>
            <w:vAlign w:val="center"/>
          </w:tcPr>
          <w:p>
            <w:pPr>
              <w:pStyle w:val="16"/>
            </w:pPr>
            <w:r>
              <w:t>其中：财政    资金</w:t>
            </w:r>
          </w:p>
        </w:tc>
        <w:tc>
          <w:tcPr>
            <w:tcW w:w="1843" w:type="dxa"/>
            <w:vAlign w:val="center"/>
          </w:tcPr>
          <w:p>
            <w:pPr>
              <w:pStyle w:val="15"/>
            </w:pPr>
            <w:r>
              <w:t>18.46</w:t>
            </w:r>
          </w:p>
        </w:tc>
        <w:tc>
          <w:tcPr>
            <w:tcW w:w="1276" w:type="dxa"/>
            <w:vAlign w:val="center"/>
          </w:tcPr>
          <w:p>
            <w:pPr>
              <w:pStyle w:val="16"/>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用于2024年外环线外侧500米绿化带923亩的养护管理。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1.外环线外侧500米林带养护面积923亩，对林带进行涂白、除草等养护工作。</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林地面积</w:t>
            </w:r>
          </w:p>
        </w:tc>
        <w:tc>
          <w:tcPr>
            <w:tcW w:w="3430" w:type="dxa"/>
            <w:vAlign w:val="center"/>
          </w:tcPr>
          <w:p>
            <w:pPr>
              <w:pStyle w:val="15"/>
            </w:pPr>
            <w:r>
              <w:t>衡量绿化带林地的面积</w:t>
            </w:r>
          </w:p>
        </w:tc>
        <w:tc>
          <w:tcPr>
            <w:tcW w:w="2551" w:type="dxa"/>
            <w:vAlign w:val="center"/>
          </w:tcPr>
          <w:p>
            <w:pPr>
              <w:pStyle w:val="15"/>
            </w:pPr>
            <w:r>
              <w:t>923亩</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树木成活率</w:t>
            </w:r>
          </w:p>
        </w:tc>
        <w:tc>
          <w:tcPr>
            <w:tcW w:w="3430" w:type="dxa"/>
            <w:vAlign w:val="center"/>
          </w:tcPr>
          <w:p>
            <w:pPr>
              <w:pStyle w:val="15"/>
            </w:pPr>
            <w:r>
              <w:t>评估树木的成活率，确保种植的树木能够生长健康</w:t>
            </w:r>
          </w:p>
        </w:tc>
        <w:tc>
          <w:tcPr>
            <w:tcW w:w="2551" w:type="dxa"/>
            <w:vAlign w:val="center"/>
          </w:tcPr>
          <w:p>
            <w:pPr>
              <w:pStyle w:val="15"/>
            </w:pPr>
            <w:r>
              <w:t>≥90%</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林地养护周期</w:t>
            </w:r>
          </w:p>
        </w:tc>
        <w:tc>
          <w:tcPr>
            <w:tcW w:w="3430" w:type="dxa"/>
            <w:vAlign w:val="center"/>
          </w:tcPr>
          <w:p>
            <w:pPr>
              <w:pStyle w:val="15"/>
            </w:pPr>
            <w:r>
              <w:t>衡量进行林地养护的周期，确保及时进行必要的管理和维护</w:t>
            </w:r>
          </w:p>
        </w:tc>
        <w:tc>
          <w:tcPr>
            <w:tcW w:w="2551" w:type="dxa"/>
            <w:vAlign w:val="center"/>
          </w:tcPr>
          <w:p>
            <w:pPr>
              <w:pStyle w:val="15"/>
            </w:pPr>
            <w:r>
              <w:t>365天</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绿化养护成本</w:t>
            </w:r>
          </w:p>
        </w:tc>
        <w:tc>
          <w:tcPr>
            <w:tcW w:w="3430" w:type="dxa"/>
            <w:vAlign w:val="center"/>
          </w:tcPr>
          <w:p>
            <w:pPr>
              <w:pStyle w:val="15"/>
            </w:pPr>
            <w:r>
              <w:t>反映对林带进行涂白、除草等养护成本控制的情况</w:t>
            </w:r>
          </w:p>
        </w:tc>
        <w:tc>
          <w:tcPr>
            <w:tcW w:w="2551" w:type="dxa"/>
            <w:vAlign w:val="center"/>
          </w:tcPr>
          <w:p>
            <w:pPr>
              <w:pStyle w:val="15"/>
            </w:pPr>
            <w:r>
              <w:t>≤18.46万元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生态保护</w:t>
            </w:r>
          </w:p>
        </w:tc>
        <w:tc>
          <w:tcPr>
            <w:tcW w:w="3430" w:type="dxa"/>
            <w:vAlign w:val="center"/>
          </w:tcPr>
          <w:p>
            <w:pPr>
              <w:pStyle w:val="15"/>
            </w:pPr>
            <w:r>
              <w:t>评估绿化带林地对生态环境的保护效果，维护生物多样性和生态平衡</w:t>
            </w:r>
          </w:p>
        </w:tc>
        <w:tc>
          <w:tcPr>
            <w:tcW w:w="2551" w:type="dxa"/>
            <w:vAlign w:val="center"/>
          </w:tcPr>
          <w:p>
            <w:pPr>
              <w:pStyle w:val="15"/>
            </w:pPr>
            <w:r>
              <w:t>效果（较高、明显、一般）</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满意度</w:t>
            </w:r>
          </w:p>
        </w:tc>
        <w:tc>
          <w:tcPr>
            <w:tcW w:w="3430" w:type="dxa"/>
            <w:vAlign w:val="center"/>
          </w:tcPr>
          <w:p>
            <w:pPr>
              <w:pStyle w:val="15"/>
            </w:pPr>
            <w:r>
              <w:t>衡量对绿化带林地养管的满意程度，可以通过调查、反馈等方式进行评估。</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 w:name="_Toc_4_4_0000000007"/>
      <w:r>
        <w:rPr>
          <w:rFonts w:ascii="方正仿宋_GBK" w:hAnsi="方正仿宋_GBK" w:eastAsia="方正仿宋_GBK" w:cs="方正仿宋_GBK"/>
          <w:sz w:val="28"/>
        </w:rPr>
        <w:t>4.考核处2024年度城市管理“以奖代补”公众测评项目绩效目标表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考核处2024年度城市管理“以奖代补”公众测评项目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70.50</w:t>
            </w:r>
          </w:p>
        </w:tc>
        <w:tc>
          <w:tcPr>
            <w:tcW w:w="1587" w:type="dxa"/>
            <w:vAlign w:val="center"/>
          </w:tcPr>
          <w:p>
            <w:pPr>
              <w:pStyle w:val="16"/>
            </w:pPr>
            <w:r>
              <w:t>其中：财政    资金</w:t>
            </w:r>
          </w:p>
        </w:tc>
        <w:tc>
          <w:tcPr>
            <w:tcW w:w="1843" w:type="dxa"/>
            <w:vAlign w:val="center"/>
          </w:tcPr>
          <w:p>
            <w:pPr>
              <w:pStyle w:val="15"/>
            </w:pPr>
            <w:r>
              <w:t>70.50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用于支付全年四个季度的“以奖代补”民意调查费用</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1.指导各区和市级城市管理相关部门开展城市管理工作，提升城市管理水平。</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完成调查问卷数量</w:t>
            </w:r>
          </w:p>
        </w:tc>
        <w:tc>
          <w:tcPr>
            <w:tcW w:w="3430" w:type="dxa"/>
            <w:vAlign w:val="center"/>
          </w:tcPr>
          <w:p>
            <w:pPr>
              <w:pStyle w:val="15"/>
            </w:pPr>
            <w:r>
              <w:t>每季度完成调查问卷数量</w:t>
            </w:r>
          </w:p>
        </w:tc>
        <w:tc>
          <w:tcPr>
            <w:tcW w:w="2551" w:type="dxa"/>
            <w:vAlign w:val="center"/>
          </w:tcPr>
          <w:p>
            <w:pPr>
              <w:pStyle w:val="15"/>
            </w:pPr>
            <w:r>
              <w:t>≥3410个</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完整调查问卷占比</w:t>
            </w:r>
          </w:p>
        </w:tc>
        <w:tc>
          <w:tcPr>
            <w:tcW w:w="3430" w:type="dxa"/>
            <w:vAlign w:val="center"/>
          </w:tcPr>
          <w:p>
            <w:pPr>
              <w:pStyle w:val="15"/>
            </w:pPr>
            <w:r>
              <w:t>完整调查问卷占总问卷的比例</w:t>
            </w:r>
          </w:p>
        </w:tc>
        <w:tc>
          <w:tcPr>
            <w:tcW w:w="2551" w:type="dxa"/>
            <w:vAlign w:val="center"/>
          </w:tcPr>
          <w:p>
            <w:pPr>
              <w:pStyle w:val="15"/>
            </w:pPr>
            <w:r>
              <w:t>≥98%</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完成及时性</w:t>
            </w:r>
          </w:p>
        </w:tc>
        <w:tc>
          <w:tcPr>
            <w:tcW w:w="3430" w:type="dxa"/>
            <w:vAlign w:val="center"/>
          </w:tcPr>
          <w:p>
            <w:pPr>
              <w:pStyle w:val="15"/>
            </w:pPr>
            <w:r>
              <w:t>实际工时与计划工时比例</w:t>
            </w:r>
          </w:p>
        </w:tc>
        <w:tc>
          <w:tcPr>
            <w:tcW w:w="2551" w:type="dxa"/>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成本节约率</w:t>
            </w:r>
          </w:p>
        </w:tc>
        <w:tc>
          <w:tcPr>
            <w:tcW w:w="3430" w:type="dxa"/>
            <w:vAlign w:val="center"/>
          </w:tcPr>
          <w:p>
            <w:pPr>
              <w:pStyle w:val="15"/>
            </w:pPr>
            <w:r>
              <w:t>（计划成本-实际成本）/计划成本</w:t>
            </w:r>
          </w:p>
        </w:tc>
        <w:tc>
          <w:tcPr>
            <w:tcW w:w="2551" w:type="dxa"/>
            <w:vAlign w:val="center"/>
          </w:tcPr>
          <w:p>
            <w:pPr>
              <w:pStyle w:val="15"/>
            </w:pPr>
            <w:r>
              <w:t>≥1%</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提升城市管理工作针对性</w:t>
            </w:r>
          </w:p>
        </w:tc>
        <w:tc>
          <w:tcPr>
            <w:tcW w:w="3430" w:type="dxa"/>
            <w:vAlign w:val="center"/>
          </w:tcPr>
          <w:p>
            <w:pPr>
              <w:pStyle w:val="15"/>
            </w:pPr>
            <w:r>
              <w:t>提升程度分为：1、较高；2、明显；3、一般</w:t>
            </w:r>
          </w:p>
        </w:tc>
        <w:tc>
          <w:tcPr>
            <w:tcW w:w="2551" w:type="dxa"/>
            <w:vAlign w:val="center"/>
          </w:tcPr>
          <w:p>
            <w:pPr>
              <w:pStyle w:val="15"/>
            </w:pPr>
            <w:r>
              <w:t>≥2等级</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3430" w:type="dxa"/>
            <w:vAlign w:val="center"/>
          </w:tcPr>
          <w:p>
            <w:pPr>
              <w:pStyle w:val="15"/>
            </w:pPr>
            <w:r>
              <w:t>服务对象满意程度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4" w:name="_Toc_4_4_0000000008"/>
      <w:r>
        <w:rPr>
          <w:rFonts w:ascii="方正仿宋_GBK" w:hAnsi="方正仿宋_GBK" w:eastAsia="方正仿宋_GBK" w:cs="方正仿宋_GBK"/>
          <w:sz w:val="28"/>
        </w:rPr>
        <w:t>5.路灯处2024年度海河桥梁维护经费项目绩效目标表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路灯处2024年度海河桥梁维护经费项目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123.45</w:t>
            </w:r>
          </w:p>
        </w:tc>
        <w:tc>
          <w:tcPr>
            <w:tcW w:w="1587" w:type="dxa"/>
            <w:vAlign w:val="center"/>
          </w:tcPr>
          <w:p>
            <w:pPr>
              <w:pStyle w:val="16"/>
            </w:pPr>
            <w:r>
              <w:t>其中：财政    资金</w:t>
            </w:r>
          </w:p>
        </w:tc>
        <w:tc>
          <w:tcPr>
            <w:tcW w:w="1843" w:type="dxa"/>
            <w:vAlign w:val="center"/>
          </w:tcPr>
          <w:p>
            <w:pPr>
              <w:pStyle w:val="15"/>
            </w:pPr>
            <w:r>
              <w:t>123.45</w:t>
            </w:r>
          </w:p>
        </w:tc>
        <w:tc>
          <w:tcPr>
            <w:tcW w:w="1276" w:type="dxa"/>
            <w:vAlign w:val="center"/>
          </w:tcPr>
          <w:p>
            <w:pPr>
              <w:pStyle w:val="16"/>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用于海河桥梁项目路灯设施运行维护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1.保障桥梁路灯正常运行，保障居民出行安全</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设施平均年巡检次数</w:t>
            </w:r>
          </w:p>
        </w:tc>
        <w:tc>
          <w:tcPr>
            <w:tcW w:w="3430" w:type="dxa"/>
            <w:vAlign w:val="center"/>
          </w:tcPr>
          <w:p>
            <w:pPr>
              <w:pStyle w:val="15"/>
            </w:pPr>
            <w:r>
              <w:t>设施平均年巡检次数</w:t>
            </w:r>
          </w:p>
        </w:tc>
        <w:tc>
          <w:tcPr>
            <w:tcW w:w="2551" w:type="dxa"/>
            <w:vAlign w:val="center"/>
          </w:tcPr>
          <w:p>
            <w:pPr>
              <w:pStyle w:val="15"/>
            </w:pPr>
            <w:r>
              <w:t>≥4次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运维灯盏数</w:t>
            </w:r>
          </w:p>
        </w:tc>
        <w:tc>
          <w:tcPr>
            <w:tcW w:w="3430" w:type="dxa"/>
            <w:vAlign w:val="center"/>
          </w:tcPr>
          <w:p>
            <w:pPr>
              <w:pStyle w:val="15"/>
            </w:pPr>
            <w:r>
              <w:t>运维灯盏数</w:t>
            </w:r>
          </w:p>
        </w:tc>
        <w:tc>
          <w:tcPr>
            <w:tcW w:w="2551" w:type="dxa"/>
            <w:vAlign w:val="center"/>
          </w:tcPr>
          <w:p>
            <w:pPr>
              <w:pStyle w:val="15"/>
            </w:pPr>
            <w:r>
              <w:t>≥1.81万盏</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亮灯率</w:t>
            </w:r>
          </w:p>
        </w:tc>
        <w:tc>
          <w:tcPr>
            <w:tcW w:w="3430" w:type="dxa"/>
            <w:vAlign w:val="center"/>
          </w:tcPr>
          <w:p>
            <w:pPr>
              <w:pStyle w:val="15"/>
            </w:pPr>
            <w:r>
              <w:t>亮灯率</w:t>
            </w:r>
          </w:p>
        </w:tc>
        <w:tc>
          <w:tcPr>
            <w:tcW w:w="2551" w:type="dxa"/>
            <w:vAlign w:val="center"/>
          </w:tcPr>
          <w:p>
            <w:pPr>
              <w:pStyle w:val="15"/>
            </w:pPr>
            <w:r>
              <w:t>≥96%</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设施完好率</w:t>
            </w:r>
          </w:p>
        </w:tc>
        <w:tc>
          <w:tcPr>
            <w:tcW w:w="3430" w:type="dxa"/>
            <w:vAlign w:val="center"/>
          </w:tcPr>
          <w:p>
            <w:pPr>
              <w:pStyle w:val="15"/>
            </w:pPr>
            <w:r>
              <w:t>设施完好率满足城市照明管理要求</w:t>
            </w:r>
          </w:p>
        </w:tc>
        <w:tc>
          <w:tcPr>
            <w:tcW w:w="2551" w:type="dxa"/>
            <w:vAlign w:val="center"/>
          </w:tcPr>
          <w:p>
            <w:pPr>
              <w:pStyle w:val="15"/>
            </w:pPr>
            <w:r>
              <w:t>≥95%</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经费支出时效性</w:t>
            </w:r>
          </w:p>
        </w:tc>
        <w:tc>
          <w:tcPr>
            <w:tcW w:w="3430" w:type="dxa"/>
            <w:vAlign w:val="center"/>
          </w:tcPr>
          <w:p>
            <w:pPr>
              <w:pStyle w:val="15"/>
            </w:pPr>
            <w:r>
              <w:t>经费成本支出的及时程度和效率情况</w:t>
            </w:r>
          </w:p>
        </w:tc>
        <w:tc>
          <w:tcPr>
            <w:tcW w:w="2551" w:type="dxa"/>
            <w:vAlign w:val="center"/>
          </w:tcPr>
          <w:p>
            <w:pPr>
              <w:pStyle w:val="15"/>
            </w:pPr>
            <w:r>
              <w:t>2024年12月31日前完成</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成本总额</w:t>
            </w:r>
          </w:p>
        </w:tc>
        <w:tc>
          <w:tcPr>
            <w:tcW w:w="3430" w:type="dxa"/>
            <w:vAlign w:val="center"/>
          </w:tcPr>
          <w:p>
            <w:pPr>
              <w:pStyle w:val="15"/>
            </w:pPr>
            <w:r>
              <w:t>成本总额≤123.45万元</w:t>
            </w:r>
          </w:p>
        </w:tc>
        <w:tc>
          <w:tcPr>
            <w:tcW w:w="2551" w:type="dxa"/>
            <w:vAlign w:val="center"/>
          </w:tcPr>
          <w:p>
            <w:pPr>
              <w:pStyle w:val="15"/>
            </w:pPr>
            <w:r>
              <w:t>≤123.45万元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保障城市照明的影响或改善程度</w:t>
            </w:r>
          </w:p>
        </w:tc>
        <w:tc>
          <w:tcPr>
            <w:tcW w:w="3430" w:type="dxa"/>
            <w:vAlign w:val="center"/>
          </w:tcPr>
          <w:p>
            <w:pPr>
              <w:pStyle w:val="15"/>
            </w:pPr>
            <w:r>
              <w:t>反映项目的实施对保障城市照明的影响或改善程度</w:t>
            </w:r>
          </w:p>
        </w:tc>
        <w:tc>
          <w:tcPr>
            <w:tcW w:w="2551" w:type="dxa"/>
            <w:vAlign w:val="center"/>
          </w:tcPr>
          <w:p>
            <w:pPr>
              <w:pStyle w:val="15"/>
            </w:pPr>
            <w:r>
              <w:t>显著、明显或一般</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群众满意度</w:t>
            </w:r>
          </w:p>
        </w:tc>
        <w:tc>
          <w:tcPr>
            <w:tcW w:w="3430" w:type="dxa"/>
            <w:vAlign w:val="center"/>
          </w:tcPr>
          <w:p>
            <w:pPr>
              <w:pStyle w:val="15"/>
            </w:pPr>
            <w:r>
              <w:t>群众满意度≥95%</w:t>
            </w:r>
          </w:p>
        </w:tc>
        <w:tc>
          <w:tcPr>
            <w:tcW w:w="2551" w:type="dxa"/>
            <w:vAlign w:val="center"/>
          </w:tcPr>
          <w:p>
            <w:pPr>
              <w:pStyle w:val="15"/>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5" w:name="_Toc_4_4_0000000009"/>
      <w:r>
        <w:rPr>
          <w:rFonts w:ascii="方正仿宋_GBK" w:hAnsi="方正仿宋_GBK" w:eastAsia="方正仿宋_GBK" w:cs="方正仿宋_GBK"/>
          <w:sz w:val="28"/>
        </w:rPr>
        <w:t>6.路灯处2024年度路灯维护费绩效目标表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路灯处2024年度路灯维护费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26000.00</w:t>
            </w:r>
          </w:p>
        </w:tc>
        <w:tc>
          <w:tcPr>
            <w:tcW w:w="1587" w:type="dxa"/>
            <w:vAlign w:val="center"/>
          </w:tcPr>
          <w:p>
            <w:pPr>
              <w:pStyle w:val="16"/>
            </w:pPr>
            <w:r>
              <w:t>其中：财政    资金</w:t>
            </w:r>
          </w:p>
        </w:tc>
        <w:tc>
          <w:tcPr>
            <w:tcW w:w="1843" w:type="dxa"/>
            <w:vAlign w:val="center"/>
          </w:tcPr>
          <w:p>
            <w:pPr>
              <w:pStyle w:val="15"/>
            </w:pPr>
            <w:r>
              <w:t>26000.00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用于开展权属范围内路灯、监控终端等设施及附属设施的巡视、检修、抢修等资金支出，保障路灯正常运行，保障居民出行安全</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1.保障路灯正常运行，保障居民出行安全。</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设施平均年巡检次数</w:t>
            </w:r>
          </w:p>
        </w:tc>
        <w:tc>
          <w:tcPr>
            <w:tcW w:w="3430" w:type="dxa"/>
            <w:vAlign w:val="center"/>
          </w:tcPr>
          <w:p>
            <w:pPr>
              <w:pStyle w:val="15"/>
            </w:pPr>
            <w:r>
              <w:t>设施平均年巡检次数</w:t>
            </w:r>
          </w:p>
        </w:tc>
        <w:tc>
          <w:tcPr>
            <w:tcW w:w="2551" w:type="dxa"/>
            <w:vAlign w:val="center"/>
          </w:tcPr>
          <w:p>
            <w:pPr>
              <w:pStyle w:val="15"/>
            </w:pPr>
            <w:r>
              <w:t>≥4次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运维灯盏数</w:t>
            </w:r>
          </w:p>
        </w:tc>
        <w:tc>
          <w:tcPr>
            <w:tcW w:w="3430" w:type="dxa"/>
            <w:vAlign w:val="center"/>
          </w:tcPr>
          <w:p>
            <w:pPr>
              <w:pStyle w:val="15"/>
            </w:pPr>
            <w:r>
              <w:t>运维灯盏数</w:t>
            </w:r>
          </w:p>
        </w:tc>
        <w:tc>
          <w:tcPr>
            <w:tcW w:w="2551" w:type="dxa"/>
            <w:vAlign w:val="center"/>
          </w:tcPr>
          <w:p>
            <w:pPr>
              <w:pStyle w:val="15"/>
            </w:pPr>
            <w:r>
              <w:t>≥20.58万盏</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亮灯率</w:t>
            </w:r>
          </w:p>
        </w:tc>
        <w:tc>
          <w:tcPr>
            <w:tcW w:w="3430" w:type="dxa"/>
            <w:vAlign w:val="center"/>
          </w:tcPr>
          <w:p>
            <w:pPr>
              <w:pStyle w:val="15"/>
            </w:pPr>
            <w:r>
              <w:t>亮灯率</w:t>
            </w:r>
          </w:p>
        </w:tc>
        <w:tc>
          <w:tcPr>
            <w:tcW w:w="2551" w:type="dxa"/>
            <w:vAlign w:val="center"/>
          </w:tcPr>
          <w:p>
            <w:pPr>
              <w:pStyle w:val="15"/>
            </w:pPr>
            <w:r>
              <w:t>≥96%</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设施完好率</w:t>
            </w:r>
          </w:p>
        </w:tc>
        <w:tc>
          <w:tcPr>
            <w:tcW w:w="3430" w:type="dxa"/>
            <w:vAlign w:val="center"/>
          </w:tcPr>
          <w:p>
            <w:pPr>
              <w:pStyle w:val="15"/>
            </w:pPr>
            <w:r>
              <w:t>设施完好率满足城市照明管理要求</w:t>
            </w:r>
          </w:p>
        </w:tc>
        <w:tc>
          <w:tcPr>
            <w:tcW w:w="2551" w:type="dxa"/>
            <w:vAlign w:val="center"/>
          </w:tcPr>
          <w:p>
            <w:pPr>
              <w:pStyle w:val="15"/>
            </w:pPr>
            <w:r>
              <w:t>≥95%</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经费支出时效性</w:t>
            </w:r>
          </w:p>
        </w:tc>
        <w:tc>
          <w:tcPr>
            <w:tcW w:w="3430" w:type="dxa"/>
            <w:vAlign w:val="center"/>
          </w:tcPr>
          <w:p>
            <w:pPr>
              <w:pStyle w:val="15"/>
            </w:pPr>
            <w:r>
              <w:t>经费成本支出的及时程度和效率情况</w:t>
            </w:r>
          </w:p>
        </w:tc>
        <w:tc>
          <w:tcPr>
            <w:tcW w:w="2551" w:type="dxa"/>
            <w:vAlign w:val="center"/>
          </w:tcPr>
          <w:p>
            <w:pPr>
              <w:pStyle w:val="15"/>
            </w:pPr>
            <w:r>
              <w:t>2024年12月31日前完成</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成本总额</w:t>
            </w:r>
          </w:p>
        </w:tc>
        <w:tc>
          <w:tcPr>
            <w:tcW w:w="3430" w:type="dxa"/>
            <w:vAlign w:val="center"/>
          </w:tcPr>
          <w:p>
            <w:pPr>
              <w:pStyle w:val="15"/>
            </w:pPr>
            <w:r>
              <w:t>成本总额≤26000万元</w:t>
            </w:r>
          </w:p>
        </w:tc>
        <w:tc>
          <w:tcPr>
            <w:tcW w:w="2551" w:type="dxa"/>
            <w:vAlign w:val="center"/>
          </w:tcPr>
          <w:p>
            <w:pPr>
              <w:pStyle w:val="15"/>
            </w:pPr>
            <w:r>
              <w:t>≤26000万元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保障城市照明的影响或改善程度</w:t>
            </w:r>
          </w:p>
        </w:tc>
        <w:tc>
          <w:tcPr>
            <w:tcW w:w="3430" w:type="dxa"/>
            <w:vAlign w:val="center"/>
          </w:tcPr>
          <w:p>
            <w:pPr>
              <w:pStyle w:val="15"/>
            </w:pPr>
            <w:r>
              <w:t>反映项目的实施对保障城市照明的影响或改善程度</w:t>
            </w:r>
          </w:p>
        </w:tc>
        <w:tc>
          <w:tcPr>
            <w:tcW w:w="2551" w:type="dxa"/>
            <w:vAlign w:val="center"/>
          </w:tcPr>
          <w:p>
            <w:pPr>
              <w:pStyle w:val="15"/>
            </w:pPr>
            <w:r>
              <w:t>显著、明显或一般</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群众满意度</w:t>
            </w:r>
          </w:p>
        </w:tc>
        <w:tc>
          <w:tcPr>
            <w:tcW w:w="3430" w:type="dxa"/>
            <w:vAlign w:val="center"/>
          </w:tcPr>
          <w:p>
            <w:pPr>
              <w:pStyle w:val="15"/>
            </w:pPr>
            <w:r>
              <w:t>群众满意度≥95%</w:t>
            </w:r>
          </w:p>
        </w:tc>
        <w:tc>
          <w:tcPr>
            <w:tcW w:w="2551" w:type="dxa"/>
            <w:vAlign w:val="center"/>
          </w:tcPr>
          <w:p>
            <w:pPr>
              <w:pStyle w:val="15"/>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6" w:name="_Toc_4_4_0000000010"/>
      <w:r>
        <w:rPr>
          <w:rFonts w:ascii="方正仿宋_GBK" w:hAnsi="方正仿宋_GBK" w:eastAsia="方正仿宋_GBK" w:cs="方正仿宋_GBK"/>
          <w:sz w:val="28"/>
        </w:rPr>
        <w:t>7.2024年度道桥维修质量监督检查项目绩效目标表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2024年度道桥维修质量监督检查项目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15.00</w:t>
            </w:r>
          </w:p>
        </w:tc>
        <w:tc>
          <w:tcPr>
            <w:tcW w:w="1587" w:type="dxa"/>
            <w:vAlign w:val="center"/>
          </w:tcPr>
          <w:p>
            <w:pPr>
              <w:pStyle w:val="16"/>
            </w:pPr>
            <w:r>
              <w:t>其中：财政    资金</w:t>
            </w:r>
          </w:p>
        </w:tc>
        <w:tc>
          <w:tcPr>
            <w:tcW w:w="1843" w:type="dxa"/>
            <w:vAlign w:val="center"/>
          </w:tcPr>
          <w:p>
            <w:pPr>
              <w:pStyle w:val="15"/>
            </w:pPr>
            <w:r>
              <w:t>15.00</w:t>
            </w:r>
          </w:p>
        </w:tc>
        <w:tc>
          <w:tcPr>
            <w:tcW w:w="1276" w:type="dxa"/>
            <w:vAlign w:val="center"/>
          </w:tcPr>
          <w:p>
            <w:pPr>
              <w:pStyle w:val="16"/>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支付监督检查费用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1.1.对2024年城市道路工程实施监督检查；2.对2024年城市桥梁工程实施监督检查。</w:t>
            </w:r>
            <w:r>
              <w:tab/>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设施维修质量抽检数量</w:t>
            </w:r>
          </w:p>
        </w:tc>
        <w:tc>
          <w:tcPr>
            <w:tcW w:w="3430" w:type="dxa"/>
            <w:vAlign w:val="center"/>
          </w:tcPr>
          <w:p>
            <w:pPr>
              <w:pStyle w:val="15"/>
            </w:pPr>
            <w:r>
              <w:t>设施维修质量抽检数量</w:t>
            </w:r>
          </w:p>
        </w:tc>
        <w:tc>
          <w:tcPr>
            <w:tcW w:w="2551" w:type="dxa"/>
            <w:vAlign w:val="center"/>
          </w:tcPr>
          <w:p>
            <w:pPr>
              <w:pStyle w:val="15"/>
            </w:pPr>
            <w:r>
              <w:t>≥120个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质量合格率</w:t>
            </w:r>
          </w:p>
        </w:tc>
        <w:tc>
          <w:tcPr>
            <w:tcW w:w="3430" w:type="dxa"/>
            <w:vAlign w:val="center"/>
          </w:tcPr>
          <w:p>
            <w:pPr>
              <w:pStyle w:val="15"/>
            </w:pPr>
            <w:r>
              <w:t>符合质量标准数量与报告总数比值</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项目检查完成时间</w:t>
            </w:r>
          </w:p>
        </w:tc>
        <w:tc>
          <w:tcPr>
            <w:tcW w:w="3430" w:type="dxa"/>
            <w:vAlign w:val="center"/>
          </w:tcPr>
          <w:p>
            <w:pPr>
              <w:pStyle w:val="15"/>
            </w:pPr>
            <w:r>
              <w:t>反映项目完成的及时程度和效率情况</w:t>
            </w:r>
          </w:p>
        </w:tc>
        <w:tc>
          <w:tcPr>
            <w:tcW w:w="2551" w:type="dxa"/>
            <w:vAlign w:val="center"/>
          </w:tcPr>
          <w:p>
            <w:pPr>
              <w:pStyle w:val="15"/>
            </w:pPr>
            <w: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3430" w:type="dxa"/>
            <w:vAlign w:val="center"/>
          </w:tcPr>
          <w:p>
            <w:pPr>
              <w:pStyle w:val="15"/>
            </w:pPr>
            <w:r>
              <w:t>反映项目总成本情况</w:t>
            </w:r>
          </w:p>
        </w:tc>
        <w:tc>
          <w:tcPr>
            <w:tcW w:w="2551" w:type="dxa"/>
            <w:vAlign w:val="center"/>
          </w:tcPr>
          <w:p>
            <w:pPr>
              <w:pStyle w:val="15"/>
            </w:pPr>
            <w:r>
              <w:t>严格控制成本，不超过总成本预算值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提高设施运行效率</w:t>
            </w:r>
          </w:p>
        </w:tc>
        <w:tc>
          <w:tcPr>
            <w:tcW w:w="3430" w:type="dxa"/>
            <w:vAlign w:val="center"/>
          </w:tcPr>
          <w:p>
            <w:pPr>
              <w:pStyle w:val="15"/>
            </w:pPr>
            <w:r>
              <w:t>通过对报告成果运用提高设施运行效率</w:t>
            </w:r>
          </w:p>
        </w:tc>
        <w:tc>
          <w:tcPr>
            <w:tcW w:w="2551" w:type="dxa"/>
            <w:vAlign w:val="center"/>
          </w:tcPr>
          <w:p>
            <w:pPr>
              <w:pStyle w:val="15"/>
            </w:pPr>
            <w:r>
              <w:t>设施运行效率明显提高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群众满意度</w:t>
            </w:r>
          </w:p>
        </w:tc>
        <w:tc>
          <w:tcPr>
            <w:tcW w:w="3430" w:type="dxa"/>
            <w:vAlign w:val="center"/>
          </w:tcPr>
          <w:p>
            <w:pPr>
              <w:pStyle w:val="15"/>
            </w:pPr>
            <w:r>
              <w:t>群众出行对设施运行的满意度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7" w:name="_Toc_4_4_0000000011"/>
      <w:r>
        <w:rPr>
          <w:rFonts w:ascii="方正仿宋_GBK" w:hAnsi="方正仿宋_GBK" w:eastAsia="方正仿宋_GBK" w:cs="方正仿宋_GBK"/>
          <w:sz w:val="28"/>
        </w:rPr>
        <w:t>8.2024年度环卫工人慰问项目绩效目标表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2024年度环卫工人慰问项目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100.00</w:t>
            </w:r>
          </w:p>
        </w:tc>
        <w:tc>
          <w:tcPr>
            <w:tcW w:w="1587" w:type="dxa"/>
            <w:vAlign w:val="center"/>
          </w:tcPr>
          <w:p>
            <w:pPr>
              <w:pStyle w:val="16"/>
            </w:pPr>
            <w:r>
              <w:t>其中：财政    资金</w:t>
            </w:r>
          </w:p>
        </w:tc>
        <w:tc>
          <w:tcPr>
            <w:tcW w:w="1843" w:type="dxa"/>
            <w:vAlign w:val="center"/>
          </w:tcPr>
          <w:p>
            <w:pPr>
              <w:pStyle w:val="15"/>
            </w:pPr>
            <w:r>
              <w:t>100.00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购买慰问品。</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1.保证财政预算资金合规合序，严格履行政府采购程序。</w:t>
            </w:r>
          </w:p>
          <w:p>
            <w:pPr>
              <w:pStyle w:val="15"/>
            </w:pPr>
            <w:r>
              <w:t>2.组织做好春节环卫工人维稳工作，确保换位职工队伍稳定。</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春节慰问区域范围</w:t>
            </w:r>
          </w:p>
        </w:tc>
        <w:tc>
          <w:tcPr>
            <w:tcW w:w="3430" w:type="dxa"/>
            <w:vAlign w:val="center"/>
          </w:tcPr>
          <w:p>
            <w:pPr>
              <w:pStyle w:val="15"/>
            </w:pPr>
            <w:r>
              <w:t>春节慰问区域范围</w:t>
            </w:r>
          </w:p>
        </w:tc>
        <w:tc>
          <w:tcPr>
            <w:tcW w:w="2551" w:type="dxa"/>
            <w:vAlign w:val="center"/>
          </w:tcPr>
          <w:p>
            <w:pPr>
              <w:pStyle w:val="15"/>
            </w:pPr>
            <w:r>
              <w:t>16个区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慰问品发放时间</w:t>
            </w:r>
          </w:p>
        </w:tc>
        <w:tc>
          <w:tcPr>
            <w:tcW w:w="3430" w:type="dxa"/>
            <w:vAlign w:val="center"/>
          </w:tcPr>
          <w:p>
            <w:pPr>
              <w:pStyle w:val="15"/>
            </w:pPr>
            <w:r>
              <w:t>慰问品发放时间</w:t>
            </w:r>
          </w:p>
        </w:tc>
        <w:tc>
          <w:tcPr>
            <w:tcW w:w="2551" w:type="dxa"/>
            <w:vAlign w:val="center"/>
          </w:tcPr>
          <w:p>
            <w:pPr>
              <w:pStyle w:val="15"/>
            </w:pPr>
            <w:r>
              <w:t>2024年年底前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慰问品质量</w:t>
            </w:r>
          </w:p>
        </w:tc>
        <w:tc>
          <w:tcPr>
            <w:tcW w:w="3430" w:type="dxa"/>
            <w:vAlign w:val="center"/>
          </w:tcPr>
          <w:p>
            <w:pPr>
              <w:pStyle w:val="15"/>
            </w:pPr>
            <w:r>
              <w:t>慰问品质量</w:t>
            </w:r>
          </w:p>
        </w:tc>
        <w:tc>
          <w:tcPr>
            <w:tcW w:w="2551" w:type="dxa"/>
            <w:vAlign w:val="center"/>
          </w:tcPr>
          <w:p>
            <w:pPr>
              <w:pStyle w:val="15"/>
            </w:pPr>
            <w:r>
              <w:t>质量良好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采购成本</w:t>
            </w:r>
          </w:p>
        </w:tc>
        <w:tc>
          <w:tcPr>
            <w:tcW w:w="3430" w:type="dxa"/>
            <w:vAlign w:val="center"/>
          </w:tcPr>
          <w:p>
            <w:pPr>
              <w:pStyle w:val="15"/>
            </w:pPr>
            <w:r>
              <w:t>采购成本控制在财政预算内</w:t>
            </w:r>
          </w:p>
        </w:tc>
        <w:tc>
          <w:tcPr>
            <w:tcW w:w="2551" w:type="dxa"/>
            <w:vAlign w:val="center"/>
          </w:tcPr>
          <w:p>
            <w:pPr>
              <w:pStyle w:val="15"/>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环卫职工幸福感提升</w:t>
            </w:r>
          </w:p>
        </w:tc>
        <w:tc>
          <w:tcPr>
            <w:tcW w:w="3430" w:type="dxa"/>
            <w:vAlign w:val="center"/>
          </w:tcPr>
          <w:p>
            <w:pPr>
              <w:pStyle w:val="15"/>
            </w:pPr>
            <w:r>
              <w:t>环卫职工幸福感提升</w:t>
            </w:r>
          </w:p>
        </w:tc>
        <w:tc>
          <w:tcPr>
            <w:tcW w:w="2551" w:type="dxa"/>
            <w:vAlign w:val="center"/>
          </w:tcPr>
          <w:p>
            <w:pPr>
              <w:pStyle w:val="15"/>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3430" w:type="dxa"/>
            <w:vAlign w:val="center"/>
          </w:tcPr>
          <w:p>
            <w:pPr>
              <w:pStyle w:val="15"/>
            </w:pPr>
            <w:r>
              <w:t>服务对象满意度</w:t>
            </w:r>
          </w:p>
        </w:tc>
        <w:tc>
          <w:tcPr>
            <w:tcW w:w="2551" w:type="dxa"/>
            <w:vAlign w:val="center"/>
          </w:tcPr>
          <w:p>
            <w:pPr>
              <w:pStyle w:val="15"/>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8" w:name="_Toc_4_4_0000000012"/>
      <w:r>
        <w:rPr>
          <w:rFonts w:ascii="方正仿宋_GBK" w:hAnsi="方正仿宋_GBK" w:eastAsia="方正仿宋_GBK" w:cs="方正仿宋_GBK"/>
          <w:sz w:val="28"/>
        </w:rPr>
        <w:t>9.2024年度预算关于2023年燃气管道场站监督检查尾款绩效目标表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2024年度预算关于2023年燃气管道场站监督检查尾款</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6.05</w:t>
            </w:r>
          </w:p>
        </w:tc>
        <w:tc>
          <w:tcPr>
            <w:tcW w:w="1587" w:type="dxa"/>
            <w:vAlign w:val="center"/>
          </w:tcPr>
          <w:p>
            <w:pPr>
              <w:pStyle w:val="16"/>
            </w:pPr>
            <w:r>
              <w:t>其中：财政    资金</w:t>
            </w:r>
          </w:p>
        </w:tc>
        <w:tc>
          <w:tcPr>
            <w:tcW w:w="1843" w:type="dxa"/>
            <w:vAlign w:val="center"/>
          </w:tcPr>
          <w:p>
            <w:pPr>
              <w:pStyle w:val="15"/>
            </w:pPr>
            <w:r>
              <w:t>6.05</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支付合同尾款</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1.根据2023年燃气管道场站监督检查合同支付尾款</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全市燃气企业现场核查</w:t>
            </w:r>
          </w:p>
        </w:tc>
        <w:tc>
          <w:tcPr>
            <w:tcW w:w="3430" w:type="dxa"/>
            <w:vAlign w:val="center"/>
          </w:tcPr>
          <w:p>
            <w:pPr>
              <w:pStyle w:val="15"/>
            </w:pPr>
            <w:r>
              <w:t>对全市管道供气企业进行现场核查数量</w:t>
            </w:r>
          </w:p>
        </w:tc>
        <w:tc>
          <w:tcPr>
            <w:tcW w:w="2551" w:type="dxa"/>
            <w:vAlign w:val="center"/>
          </w:tcPr>
          <w:p>
            <w:pPr>
              <w:pStyle w:val="15"/>
            </w:pPr>
            <w:r>
              <w:t>155家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 xml:space="preserve">核查覆盖率 </w:t>
            </w:r>
          </w:p>
        </w:tc>
        <w:tc>
          <w:tcPr>
            <w:tcW w:w="3430" w:type="dxa"/>
            <w:vAlign w:val="center"/>
          </w:tcPr>
          <w:p>
            <w:pPr>
              <w:pStyle w:val="15"/>
            </w:pPr>
            <w:r>
              <w:t>核查覆盖率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按时完成</w:t>
            </w:r>
          </w:p>
        </w:tc>
        <w:tc>
          <w:tcPr>
            <w:tcW w:w="3430" w:type="dxa"/>
            <w:vAlign w:val="center"/>
          </w:tcPr>
          <w:p>
            <w:pPr>
              <w:pStyle w:val="15"/>
            </w:pPr>
            <w:r>
              <w:t>按时完成检查任务</w:t>
            </w:r>
          </w:p>
        </w:tc>
        <w:tc>
          <w:tcPr>
            <w:tcW w:w="2551" w:type="dxa"/>
            <w:vAlign w:val="center"/>
          </w:tcPr>
          <w:p>
            <w:pPr>
              <w:pStyle w:val="15"/>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严格控制成本</w:t>
            </w:r>
          </w:p>
        </w:tc>
        <w:tc>
          <w:tcPr>
            <w:tcW w:w="3430" w:type="dxa"/>
            <w:vAlign w:val="center"/>
          </w:tcPr>
          <w:p>
            <w:pPr>
              <w:pStyle w:val="15"/>
            </w:pPr>
            <w:r>
              <w:t>严格控制成本，不超预算。</w:t>
            </w:r>
          </w:p>
        </w:tc>
        <w:tc>
          <w:tcPr>
            <w:tcW w:w="2551" w:type="dxa"/>
            <w:vAlign w:val="center"/>
          </w:tcPr>
          <w:p>
            <w:pPr>
              <w:pStyle w:val="15"/>
            </w:pPr>
            <w:r>
              <w:t>不超合同余款6.05万元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进一步提升燃气设施安全</w:t>
            </w:r>
          </w:p>
        </w:tc>
        <w:tc>
          <w:tcPr>
            <w:tcW w:w="3430" w:type="dxa"/>
            <w:vAlign w:val="center"/>
          </w:tcPr>
          <w:p>
            <w:pPr>
              <w:pStyle w:val="15"/>
            </w:pPr>
            <w:r>
              <w:t>进一步提升燃气设施安全管理水平</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设施运行主体满意度</w:t>
            </w:r>
          </w:p>
        </w:tc>
        <w:tc>
          <w:tcPr>
            <w:tcW w:w="3430" w:type="dxa"/>
            <w:vAlign w:val="center"/>
          </w:tcPr>
          <w:p>
            <w:pPr>
              <w:pStyle w:val="15"/>
            </w:pPr>
            <w:r>
              <w:t>设施裕兴主体满意度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013"/>
      <w:r>
        <w:rPr>
          <w:rFonts w:ascii="方正仿宋_GBK" w:hAnsi="方正仿宋_GBK" w:eastAsia="方正仿宋_GBK" w:cs="方正仿宋_GBK"/>
          <w:sz w:val="28"/>
        </w:rPr>
        <w:t>10.2024年度预算关于支付2022年对养护维修工程质量实施监督检查合同款项目绩效目标表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2024年度预算关于支付2022年对养护维修工程质量实施监督检查合同款项目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5.00</w:t>
            </w:r>
          </w:p>
        </w:tc>
        <w:tc>
          <w:tcPr>
            <w:tcW w:w="1587" w:type="dxa"/>
            <w:vAlign w:val="center"/>
          </w:tcPr>
          <w:p>
            <w:pPr>
              <w:pStyle w:val="16"/>
            </w:pPr>
            <w:r>
              <w:t>其中：财政    资金</w:t>
            </w:r>
          </w:p>
        </w:tc>
        <w:tc>
          <w:tcPr>
            <w:tcW w:w="1843" w:type="dxa"/>
            <w:vAlign w:val="center"/>
          </w:tcPr>
          <w:p>
            <w:pPr>
              <w:pStyle w:val="15"/>
            </w:pPr>
            <w:r>
              <w:t>5.00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支付合同款</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1.按照合同约定支付款项</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完成计划量</w:t>
            </w:r>
          </w:p>
        </w:tc>
        <w:tc>
          <w:tcPr>
            <w:tcW w:w="3430" w:type="dxa"/>
            <w:vAlign w:val="center"/>
          </w:tcPr>
          <w:p>
            <w:pPr>
              <w:pStyle w:val="15"/>
            </w:pPr>
            <w:r>
              <w:t>完成桥梁核定检查量</w:t>
            </w:r>
          </w:p>
        </w:tc>
        <w:tc>
          <w:tcPr>
            <w:tcW w:w="2551" w:type="dxa"/>
            <w:vAlign w:val="center"/>
          </w:tcPr>
          <w:p>
            <w:pPr>
              <w:pStyle w:val="15"/>
            </w:pPr>
            <w:r>
              <w:t>≥139座</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完成计划量</w:t>
            </w:r>
          </w:p>
        </w:tc>
        <w:tc>
          <w:tcPr>
            <w:tcW w:w="3430" w:type="dxa"/>
            <w:vAlign w:val="center"/>
          </w:tcPr>
          <w:p>
            <w:pPr>
              <w:pStyle w:val="15"/>
            </w:pPr>
            <w:r>
              <w:t>完成道路核定检查量</w:t>
            </w:r>
          </w:p>
        </w:tc>
        <w:tc>
          <w:tcPr>
            <w:tcW w:w="2551" w:type="dxa"/>
            <w:vAlign w:val="center"/>
          </w:tcPr>
          <w:p>
            <w:pPr>
              <w:pStyle w:val="15"/>
            </w:pPr>
            <w:r>
              <w:t>≥9条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按照合同约定支付款项</w:t>
            </w:r>
          </w:p>
        </w:tc>
        <w:tc>
          <w:tcPr>
            <w:tcW w:w="3430" w:type="dxa"/>
            <w:vAlign w:val="center"/>
          </w:tcPr>
          <w:p>
            <w:pPr>
              <w:pStyle w:val="15"/>
            </w:pPr>
            <w:r>
              <w:t>按照合同约定支付款项</w:t>
            </w:r>
          </w:p>
        </w:tc>
        <w:tc>
          <w:tcPr>
            <w:tcW w:w="2551" w:type="dxa"/>
            <w:vAlign w:val="center"/>
          </w:tcPr>
          <w:p>
            <w:pPr>
              <w:pStyle w:val="15"/>
            </w:pPr>
            <w:r>
              <w:t>≤6个月</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不超合同金额</w:t>
            </w:r>
          </w:p>
        </w:tc>
        <w:tc>
          <w:tcPr>
            <w:tcW w:w="3430" w:type="dxa"/>
            <w:vAlign w:val="center"/>
          </w:tcPr>
          <w:p>
            <w:pPr>
              <w:pStyle w:val="15"/>
            </w:pPr>
            <w:r>
              <w:t>按照合同付款</w:t>
            </w:r>
          </w:p>
        </w:tc>
        <w:tc>
          <w:tcPr>
            <w:tcW w:w="2551" w:type="dxa"/>
            <w:vAlign w:val="center"/>
          </w:tcPr>
          <w:p>
            <w:pPr>
              <w:pStyle w:val="15"/>
            </w:pPr>
            <w:r>
              <w:t>不超合同款</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合格率</w:t>
            </w:r>
          </w:p>
        </w:tc>
        <w:tc>
          <w:tcPr>
            <w:tcW w:w="3430" w:type="dxa"/>
            <w:vAlign w:val="center"/>
          </w:tcPr>
          <w:p>
            <w:pPr>
              <w:pStyle w:val="15"/>
            </w:pPr>
            <w:r>
              <w:t>符合质量标准</w:t>
            </w:r>
          </w:p>
        </w:tc>
        <w:tc>
          <w:tcPr>
            <w:tcW w:w="2551" w:type="dxa"/>
            <w:vAlign w:val="center"/>
          </w:tcPr>
          <w:p>
            <w:pPr>
              <w:pStyle w:val="15"/>
            </w:pPr>
            <w:r>
              <w:t>≥90百分率</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修复达标</w:t>
            </w:r>
          </w:p>
        </w:tc>
        <w:tc>
          <w:tcPr>
            <w:tcW w:w="3430" w:type="dxa"/>
            <w:vAlign w:val="center"/>
          </w:tcPr>
          <w:p>
            <w:pPr>
              <w:pStyle w:val="15"/>
            </w:pPr>
            <w:r>
              <w:t>修复工作达到标准要求</w:t>
            </w:r>
          </w:p>
        </w:tc>
        <w:tc>
          <w:tcPr>
            <w:tcW w:w="2551" w:type="dxa"/>
            <w:vAlign w:val="center"/>
          </w:tcPr>
          <w:p>
            <w:pPr>
              <w:pStyle w:val="15"/>
            </w:pPr>
            <w:r>
              <w:t>≥90百分率</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群众满意度</w:t>
            </w:r>
          </w:p>
        </w:tc>
        <w:tc>
          <w:tcPr>
            <w:tcW w:w="3430" w:type="dxa"/>
            <w:vAlign w:val="center"/>
          </w:tcPr>
          <w:p>
            <w:pPr>
              <w:pStyle w:val="15"/>
            </w:pPr>
            <w:r>
              <w:t>群众满意度</w:t>
            </w:r>
          </w:p>
        </w:tc>
        <w:tc>
          <w:tcPr>
            <w:tcW w:w="2551" w:type="dxa"/>
            <w:vAlign w:val="center"/>
          </w:tcPr>
          <w:p>
            <w:pPr>
              <w:pStyle w:val="15"/>
            </w:pPr>
            <w:r>
              <w:t>≥90百分率</w:t>
            </w:r>
          </w:p>
        </w:tc>
      </w:tr>
    </w:tbl>
    <w:p>
      <w:pPr>
        <w:sectPr>
          <w:pgSz w:w="11900" w:h="16840"/>
          <w:pgMar w:top="1984" w:right="1304" w:bottom="1134" w:left="1304" w:header="720" w:footer="720" w:gutter="0"/>
          <w:cols w:space="720" w:num="1"/>
        </w:sectPr>
      </w:pPr>
    </w:p>
    <w:p>
      <w:pPr>
        <w:jc w:val="center"/>
      </w:pPr>
    </w:p>
    <w:p>
      <w:pPr>
        <w:ind w:firstLine="560"/>
        <w:outlineLvl w:val="3"/>
      </w:pPr>
      <w:bookmarkStart w:id="10" w:name="_Toc_4_4_0000000014"/>
      <w:r>
        <w:rPr>
          <w:rFonts w:ascii="方正仿宋_GBK" w:hAnsi="方正仿宋_GBK" w:eastAsia="方正仿宋_GBK" w:cs="方正仿宋_GBK"/>
          <w:sz w:val="28"/>
        </w:rPr>
        <w:t>11.2024年一般债付息绩效目标表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2024年一般债付息</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15644.00</w:t>
            </w:r>
          </w:p>
        </w:tc>
        <w:tc>
          <w:tcPr>
            <w:tcW w:w="1587" w:type="dxa"/>
            <w:vAlign w:val="center"/>
          </w:tcPr>
          <w:p>
            <w:pPr>
              <w:pStyle w:val="16"/>
            </w:pPr>
            <w:r>
              <w:t>其中：财政    资金</w:t>
            </w:r>
          </w:p>
        </w:tc>
        <w:tc>
          <w:tcPr>
            <w:tcW w:w="1843" w:type="dxa"/>
            <w:vAlign w:val="center"/>
          </w:tcPr>
          <w:p>
            <w:pPr>
              <w:pStyle w:val="15"/>
            </w:pPr>
            <w:r>
              <w:t>15644.00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一般债支付利息</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1.一般债付息</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偿还利息项目数</w:t>
            </w:r>
          </w:p>
        </w:tc>
        <w:tc>
          <w:tcPr>
            <w:tcW w:w="3430" w:type="dxa"/>
            <w:vAlign w:val="center"/>
          </w:tcPr>
          <w:p>
            <w:pPr>
              <w:pStyle w:val="15"/>
            </w:pPr>
            <w:r>
              <w:t>偿还利息项目数</w:t>
            </w:r>
          </w:p>
        </w:tc>
        <w:tc>
          <w:tcPr>
            <w:tcW w:w="2551" w:type="dxa"/>
            <w:vAlign w:val="center"/>
          </w:tcPr>
          <w:p>
            <w:pPr>
              <w:pStyle w:val="15"/>
            </w:pPr>
            <w:r>
              <w:t>1项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利息偿还率</w:t>
            </w:r>
          </w:p>
        </w:tc>
        <w:tc>
          <w:tcPr>
            <w:tcW w:w="3430" w:type="dxa"/>
            <w:vAlign w:val="center"/>
          </w:tcPr>
          <w:p>
            <w:pPr>
              <w:pStyle w:val="15"/>
            </w:pPr>
            <w:r>
              <w:t>利息偿还率</w:t>
            </w:r>
          </w:p>
        </w:tc>
        <w:tc>
          <w:tcPr>
            <w:tcW w:w="2551" w:type="dxa"/>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按时偿还利息</w:t>
            </w:r>
          </w:p>
        </w:tc>
        <w:tc>
          <w:tcPr>
            <w:tcW w:w="3430" w:type="dxa"/>
            <w:vAlign w:val="center"/>
          </w:tcPr>
          <w:p>
            <w:pPr>
              <w:pStyle w:val="15"/>
            </w:pPr>
            <w:r>
              <w:t>按时偿还利息</w:t>
            </w:r>
          </w:p>
        </w:tc>
        <w:tc>
          <w:tcPr>
            <w:tcW w:w="2551" w:type="dxa"/>
            <w:vAlign w:val="center"/>
          </w:tcPr>
          <w:p>
            <w:pPr>
              <w:pStyle w:val="15"/>
            </w:pPr>
            <w:r>
              <w:t>按时</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利息支出</w:t>
            </w:r>
          </w:p>
        </w:tc>
        <w:tc>
          <w:tcPr>
            <w:tcW w:w="3430" w:type="dxa"/>
            <w:vAlign w:val="center"/>
          </w:tcPr>
          <w:p>
            <w:pPr>
              <w:pStyle w:val="15"/>
            </w:pPr>
            <w:r>
              <w:t>利息支出</w:t>
            </w:r>
          </w:p>
        </w:tc>
        <w:tc>
          <w:tcPr>
            <w:tcW w:w="2551" w:type="dxa"/>
            <w:vAlign w:val="center"/>
          </w:tcPr>
          <w:p>
            <w:pPr>
              <w:pStyle w:val="15"/>
            </w:pPr>
            <w:r>
              <w:t>≤15664万元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提高一般债券使用率</w:t>
            </w:r>
          </w:p>
        </w:tc>
        <w:tc>
          <w:tcPr>
            <w:tcW w:w="3430" w:type="dxa"/>
            <w:vAlign w:val="center"/>
          </w:tcPr>
          <w:p>
            <w:pPr>
              <w:pStyle w:val="15"/>
            </w:pPr>
            <w:r>
              <w:t>提高一般债券使用率</w:t>
            </w:r>
          </w:p>
        </w:tc>
        <w:tc>
          <w:tcPr>
            <w:tcW w:w="2551" w:type="dxa"/>
            <w:vAlign w:val="center"/>
          </w:tcPr>
          <w:p>
            <w:pPr>
              <w:pStyle w:val="15"/>
            </w:pPr>
            <w:r>
              <w:t>提高</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债权人满意度</w:t>
            </w:r>
          </w:p>
        </w:tc>
        <w:tc>
          <w:tcPr>
            <w:tcW w:w="3430" w:type="dxa"/>
            <w:vAlign w:val="center"/>
          </w:tcPr>
          <w:p>
            <w:pPr>
              <w:pStyle w:val="15"/>
            </w:pPr>
            <w:r>
              <w:t>债权人满意度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_4_4_0000000015"/>
      <w:r>
        <w:rPr>
          <w:rFonts w:ascii="方正仿宋_GBK" w:hAnsi="方正仿宋_GBK" w:eastAsia="方正仿宋_GBK" w:cs="方正仿宋_GBK"/>
          <w:sz w:val="28"/>
        </w:rPr>
        <w:t>12.2024年专项债付息（能源集团）绩效目标表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2024年专项债付息（能源集团）</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2824.80</w:t>
            </w:r>
          </w:p>
        </w:tc>
        <w:tc>
          <w:tcPr>
            <w:tcW w:w="1587" w:type="dxa"/>
            <w:vAlign w:val="center"/>
          </w:tcPr>
          <w:p>
            <w:pPr>
              <w:pStyle w:val="16"/>
            </w:pPr>
            <w:r>
              <w:t>其中：财政    资金</w:t>
            </w:r>
          </w:p>
        </w:tc>
        <w:tc>
          <w:tcPr>
            <w:tcW w:w="1843" w:type="dxa"/>
            <w:vAlign w:val="center"/>
          </w:tcPr>
          <w:p>
            <w:pPr>
              <w:pStyle w:val="15"/>
            </w:pPr>
            <w:r>
              <w:t>2824.80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专项债付利息</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1.专项债支付利息（能源集团）</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偿还利息项目数</w:t>
            </w:r>
          </w:p>
        </w:tc>
        <w:tc>
          <w:tcPr>
            <w:tcW w:w="3430" w:type="dxa"/>
            <w:vAlign w:val="center"/>
          </w:tcPr>
          <w:p>
            <w:pPr>
              <w:pStyle w:val="15"/>
            </w:pPr>
            <w:r>
              <w:t>偿还利息项目数</w:t>
            </w:r>
          </w:p>
        </w:tc>
        <w:tc>
          <w:tcPr>
            <w:tcW w:w="2551" w:type="dxa"/>
            <w:vAlign w:val="center"/>
          </w:tcPr>
          <w:p>
            <w:pPr>
              <w:pStyle w:val="15"/>
            </w:pPr>
            <w:r>
              <w:t>1项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利息偿还率</w:t>
            </w:r>
          </w:p>
        </w:tc>
        <w:tc>
          <w:tcPr>
            <w:tcW w:w="3430" w:type="dxa"/>
            <w:vAlign w:val="center"/>
          </w:tcPr>
          <w:p>
            <w:pPr>
              <w:pStyle w:val="15"/>
            </w:pPr>
            <w:r>
              <w:t>利息偿还率</w:t>
            </w:r>
          </w:p>
        </w:tc>
        <w:tc>
          <w:tcPr>
            <w:tcW w:w="2551" w:type="dxa"/>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按时偿还利息</w:t>
            </w:r>
          </w:p>
        </w:tc>
        <w:tc>
          <w:tcPr>
            <w:tcW w:w="3430" w:type="dxa"/>
            <w:vAlign w:val="center"/>
          </w:tcPr>
          <w:p>
            <w:pPr>
              <w:pStyle w:val="15"/>
            </w:pPr>
            <w:r>
              <w:t>按时偿还利息</w:t>
            </w:r>
          </w:p>
        </w:tc>
        <w:tc>
          <w:tcPr>
            <w:tcW w:w="2551" w:type="dxa"/>
            <w:vAlign w:val="center"/>
          </w:tcPr>
          <w:p>
            <w:pPr>
              <w:pStyle w:val="15"/>
            </w:pPr>
            <w:r>
              <w:t>按时</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利息支出</w:t>
            </w:r>
          </w:p>
        </w:tc>
        <w:tc>
          <w:tcPr>
            <w:tcW w:w="3430" w:type="dxa"/>
            <w:vAlign w:val="center"/>
          </w:tcPr>
          <w:p>
            <w:pPr>
              <w:pStyle w:val="15"/>
            </w:pPr>
            <w:r>
              <w:t>利息支出</w:t>
            </w:r>
          </w:p>
        </w:tc>
        <w:tc>
          <w:tcPr>
            <w:tcW w:w="2551" w:type="dxa"/>
            <w:vAlign w:val="center"/>
          </w:tcPr>
          <w:p>
            <w:pPr>
              <w:pStyle w:val="15"/>
            </w:pPr>
            <w:r>
              <w:t>≤2824.8万元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提高一般债券使用率</w:t>
            </w:r>
          </w:p>
        </w:tc>
        <w:tc>
          <w:tcPr>
            <w:tcW w:w="3430" w:type="dxa"/>
            <w:vAlign w:val="center"/>
          </w:tcPr>
          <w:p>
            <w:pPr>
              <w:pStyle w:val="15"/>
            </w:pPr>
            <w:r>
              <w:t>提高一般债券使用率</w:t>
            </w:r>
          </w:p>
        </w:tc>
        <w:tc>
          <w:tcPr>
            <w:tcW w:w="2551" w:type="dxa"/>
            <w:vAlign w:val="center"/>
          </w:tcPr>
          <w:p>
            <w:pPr>
              <w:pStyle w:val="15"/>
            </w:pPr>
            <w:r>
              <w:t>提高</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债权人满意度</w:t>
            </w:r>
          </w:p>
        </w:tc>
        <w:tc>
          <w:tcPr>
            <w:tcW w:w="3430" w:type="dxa"/>
            <w:vAlign w:val="center"/>
          </w:tcPr>
          <w:p>
            <w:pPr>
              <w:pStyle w:val="15"/>
            </w:pPr>
            <w:r>
              <w:t>债权人满意度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2" w:name="_Toc_4_4_0000000016"/>
      <w:r>
        <w:rPr>
          <w:rFonts w:ascii="方正仿宋_GBK" w:hAnsi="方正仿宋_GBK" w:eastAsia="方正仿宋_GBK" w:cs="方正仿宋_GBK"/>
          <w:sz w:val="28"/>
        </w:rPr>
        <w:t>13.2024年专项债付息（土地）绩效目标表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2024年专项债付息（土地）</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2668.00</w:t>
            </w:r>
          </w:p>
        </w:tc>
        <w:tc>
          <w:tcPr>
            <w:tcW w:w="1587" w:type="dxa"/>
            <w:vAlign w:val="center"/>
          </w:tcPr>
          <w:p>
            <w:pPr>
              <w:pStyle w:val="16"/>
            </w:pPr>
            <w:r>
              <w:t>其中：财政    资金</w:t>
            </w:r>
          </w:p>
        </w:tc>
        <w:tc>
          <w:tcPr>
            <w:tcW w:w="1843" w:type="dxa"/>
            <w:vAlign w:val="center"/>
          </w:tcPr>
          <w:p>
            <w:pPr>
              <w:pStyle w:val="15"/>
            </w:pPr>
            <w:r>
              <w:t>2668.00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专项债支付利息</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1.专项债付息（土地）</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偿还利息项目数</w:t>
            </w:r>
          </w:p>
        </w:tc>
        <w:tc>
          <w:tcPr>
            <w:tcW w:w="3430" w:type="dxa"/>
            <w:vAlign w:val="center"/>
          </w:tcPr>
          <w:p>
            <w:pPr>
              <w:pStyle w:val="15"/>
            </w:pPr>
            <w:r>
              <w:t>偿还利息项目数</w:t>
            </w:r>
          </w:p>
        </w:tc>
        <w:tc>
          <w:tcPr>
            <w:tcW w:w="2551" w:type="dxa"/>
            <w:vAlign w:val="center"/>
          </w:tcPr>
          <w:p>
            <w:pPr>
              <w:pStyle w:val="15"/>
            </w:pPr>
            <w:r>
              <w:t>1项</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利息偿还率</w:t>
            </w:r>
          </w:p>
        </w:tc>
        <w:tc>
          <w:tcPr>
            <w:tcW w:w="3430" w:type="dxa"/>
            <w:vAlign w:val="center"/>
          </w:tcPr>
          <w:p>
            <w:pPr>
              <w:pStyle w:val="15"/>
            </w:pPr>
            <w:r>
              <w:t>利息偿还率</w:t>
            </w:r>
          </w:p>
        </w:tc>
        <w:tc>
          <w:tcPr>
            <w:tcW w:w="2551" w:type="dxa"/>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按时偿还利息</w:t>
            </w:r>
          </w:p>
        </w:tc>
        <w:tc>
          <w:tcPr>
            <w:tcW w:w="3430" w:type="dxa"/>
            <w:vAlign w:val="center"/>
          </w:tcPr>
          <w:p>
            <w:pPr>
              <w:pStyle w:val="15"/>
            </w:pPr>
            <w:r>
              <w:t>按时偿还利息</w:t>
            </w:r>
          </w:p>
        </w:tc>
        <w:tc>
          <w:tcPr>
            <w:tcW w:w="2551" w:type="dxa"/>
            <w:vAlign w:val="center"/>
          </w:tcPr>
          <w:p>
            <w:pPr>
              <w:pStyle w:val="15"/>
            </w:pPr>
            <w:r>
              <w:t>按时</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利息支出</w:t>
            </w:r>
          </w:p>
        </w:tc>
        <w:tc>
          <w:tcPr>
            <w:tcW w:w="3430" w:type="dxa"/>
            <w:vAlign w:val="center"/>
          </w:tcPr>
          <w:p>
            <w:pPr>
              <w:pStyle w:val="15"/>
            </w:pPr>
            <w:r>
              <w:t>利息支出</w:t>
            </w:r>
          </w:p>
        </w:tc>
        <w:tc>
          <w:tcPr>
            <w:tcW w:w="2551" w:type="dxa"/>
            <w:vAlign w:val="center"/>
          </w:tcPr>
          <w:p>
            <w:pPr>
              <w:pStyle w:val="15"/>
            </w:pPr>
            <w:r>
              <w:t>≤2668万元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提高一般债券使用率</w:t>
            </w:r>
          </w:p>
        </w:tc>
        <w:tc>
          <w:tcPr>
            <w:tcW w:w="3430" w:type="dxa"/>
            <w:vAlign w:val="center"/>
          </w:tcPr>
          <w:p>
            <w:pPr>
              <w:pStyle w:val="15"/>
            </w:pPr>
            <w:r>
              <w:t>提高一般债券使用率</w:t>
            </w:r>
          </w:p>
        </w:tc>
        <w:tc>
          <w:tcPr>
            <w:tcW w:w="2551" w:type="dxa"/>
            <w:vAlign w:val="center"/>
          </w:tcPr>
          <w:p>
            <w:pPr>
              <w:pStyle w:val="15"/>
            </w:pPr>
            <w:r>
              <w:t>提高</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债权人满意度</w:t>
            </w:r>
          </w:p>
        </w:tc>
        <w:tc>
          <w:tcPr>
            <w:tcW w:w="3430" w:type="dxa"/>
            <w:vAlign w:val="center"/>
          </w:tcPr>
          <w:p>
            <w:pPr>
              <w:pStyle w:val="15"/>
            </w:pPr>
            <w:r>
              <w:t>债权人满意度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3" w:name="_Toc_4_4_0000000017"/>
      <w:r>
        <w:rPr>
          <w:rFonts w:ascii="方正仿宋_GBK" w:hAnsi="方正仿宋_GBK" w:eastAsia="方正仿宋_GBK" w:cs="方正仿宋_GBK"/>
          <w:sz w:val="28"/>
        </w:rPr>
        <w:t>14.路灯处2024年度预算关于2023年路灯地下管线普查测绘项目尾款绩效目标表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路灯处2024年度预算关于2023年路灯地下管线普查测绘项目尾款</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155.00</w:t>
            </w:r>
          </w:p>
        </w:tc>
        <w:tc>
          <w:tcPr>
            <w:tcW w:w="1587" w:type="dxa"/>
            <w:vAlign w:val="center"/>
          </w:tcPr>
          <w:p>
            <w:pPr>
              <w:pStyle w:val="16"/>
            </w:pPr>
            <w:r>
              <w:t>其中：财政    资金</w:t>
            </w:r>
          </w:p>
        </w:tc>
        <w:tc>
          <w:tcPr>
            <w:tcW w:w="1843" w:type="dxa"/>
            <w:vAlign w:val="center"/>
          </w:tcPr>
          <w:p>
            <w:pPr>
              <w:pStyle w:val="15"/>
            </w:pPr>
            <w:r>
              <w:t>155.00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用于路灯底下管线测绘项目</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1.确保按照工作要求完成城市照明设施地下管线信息调查工作。</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线缆测绘量</w:t>
            </w:r>
          </w:p>
        </w:tc>
        <w:tc>
          <w:tcPr>
            <w:tcW w:w="3430" w:type="dxa"/>
            <w:vAlign w:val="center"/>
          </w:tcPr>
          <w:p>
            <w:pPr>
              <w:pStyle w:val="15"/>
            </w:pPr>
            <w:r>
              <w:t>反映线缆测绘量</w:t>
            </w:r>
          </w:p>
        </w:tc>
        <w:tc>
          <w:tcPr>
            <w:tcW w:w="2551" w:type="dxa"/>
            <w:vAlign w:val="center"/>
          </w:tcPr>
          <w:p>
            <w:pPr>
              <w:pStyle w:val="15"/>
            </w:pPr>
            <w:r>
              <w:t>测绘量趋近431公里</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数据准确率</w:t>
            </w:r>
          </w:p>
        </w:tc>
        <w:tc>
          <w:tcPr>
            <w:tcW w:w="3430" w:type="dxa"/>
            <w:vAlign w:val="center"/>
          </w:tcPr>
          <w:p>
            <w:pPr>
              <w:pStyle w:val="15"/>
            </w:pPr>
            <w:r>
              <w:t>准确率</w:t>
            </w:r>
          </w:p>
        </w:tc>
        <w:tc>
          <w:tcPr>
            <w:tcW w:w="2551" w:type="dxa"/>
            <w:vAlign w:val="center"/>
          </w:tcPr>
          <w:p>
            <w:pPr>
              <w:pStyle w:val="15"/>
            </w:pPr>
            <w:r>
              <w:t>≥95%</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完成设施普查及隐患排查</w:t>
            </w:r>
          </w:p>
        </w:tc>
        <w:tc>
          <w:tcPr>
            <w:tcW w:w="3430" w:type="dxa"/>
            <w:vAlign w:val="center"/>
          </w:tcPr>
          <w:p>
            <w:pPr>
              <w:pStyle w:val="15"/>
            </w:pPr>
            <w:r>
              <w:t>完成时间</w:t>
            </w:r>
          </w:p>
        </w:tc>
        <w:tc>
          <w:tcPr>
            <w:tcW w:w="2551" w:type="dxa"/>
            <w:vAlign w:val="center"/>
          </w:tcPr>
          <w:p>
            <w:pPr>
              <w:pStyle w:val="15"/>
            </w:pPr>
            <w:r>
              <w:t>按时限要求上报地下管线测绘信息</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3430" w:type="dxa"/>
            <w:vAlign w:val="center"/>
          </w:tcPr>
          <w:p>
            <w:pPr>
              <w:pStyle w:val="15"/>
            </w:pPr>
            <w:r>
              <w:t>反映项目总成本情况</w:t>
            </w:r>
          </w:p>
        </w:tc>
        <w:tc>
          <w:tcPr>
            <w:tcW w:w="2551" w:type="dxa"/>
            <w:vAlign w:val="center"/>
          </w:tcPr>
          <w:p>
            <w:pPr>
              <w:pStyle w:val="15"/>
            </w:pPr>
            <w:r>
              <w:t>≤155万元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加强地下管线规范管理</w:t>
            </w:r>
          </w:p>
        </w:tc>
        <w:tc>
          <w:tcPr>
            <w:tcW w:w="3430" w:type="dxa"/>
            <w:vAlign w:val="center"/>
          </w:tcPr>
          <w:p>
            <w:pPr>
              <w:pStyle w:val="15"/>
            </w:pPr>
            <w:r>
              <w:t>加强地下管线规范管理</w:t>
            </w:r>
          </w:p>
        </w:tc>
        <w:tc>
          <w:tcPr>
            <w:tcW w:w="2551" w:type="dxa"/>
            <w:vAlign w:val="center"/>
          </w:tcPr>
          <w:p>
            <w:pPr>
              <w:pStyle w:val="15"/>
            </w:pPr>
            <w:r>
              <w:t>显著、明显或一般</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群众满意度</w:t>
            </w:r>
          </w:p>
        </w:tc>
        <w:tc>
          <w:tcPr>
            <w:tcW w:w="3430" w:type="dxa"/>
            <w:vAlign w:val="center"/>
          </w:tcPr>
          <w:p>
            <w:pPr>
              <w:pStyle w:val="15"/>
            </w:pPr>
            <w:r>
              <w:t>群众满意度</w:t>
            </w:r>
          </w:p>
        </w:tc>
        <w:tc>
          <w:tcPr>
            <w:tcW w:w="2551" w:type="dxa"/>
            <w:vAlign w:val="center"/>
          </w:tcPr>
          <w:p>
            <w:pPr>
              <w:pStyle w:val="15"/>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14" w:name="_Toc_4_4_0000000018"/>
      <w:r>
        <w:rPr>
          <w:rFonts w:ascii="方正仿宋_GBK" w:hAnsi="方正仿宋_GBK" w:eastAsia="方正仿宋_GBK" w:cs="方正仿宋_GBK"/>
          <w:sz w:val="28"/>
        </w:rPr>
        <w:t>15.梅江公园（二期）工程绩效目标表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326101天津市城市管理委员会</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梅江公园（二期）工程</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476.90</w:t>
            </w:r>
          </w:p>
        </w:tc>
        <w:tc>
          <w:tcPr>
            <w:tcW w:w="1587" w:type="dxa"/>
            <w:vAlign w:val="center"/>
          </w:tcPr>
          <w:p>
            <w:pPr>
              <w:pStyle w:val="16"/>
            </w:pPr>
            <w:r>
              <w:t>其中：财政    资金</w:t>
            </w:r>
          </w:p>
        </w:tc>
        <w:tc>
          <w:tcPr>
            <w:tcW w:w="1843" w:type="dxa"/>
            <w:vAlign w:val="center"/>
          </w:tcPr>
          <w:p>
            <w:pPr>
              <w:pStyle w:val="15"/>
            </w:pPr>
            <w:r>
              <w:t>476.90</w:t>
            </w:r>
          </w:p>
        </w:tc>
        <w:tc>
          <w:tcPr>
            <w:tcW w:w="1276" w:type="dxa"/>
            <w:vAlign w:val="center"/>
          </w:tcPr>
          <w:p>
            <w:pPr>
              <w:pStyle w:val="16"/>
            </w:pPr>
            <w:r>
              <w:t>其他资金</w:t>
            </w:r>
          </w:p>
        </w:tc>
        <w:tc>
          <w:tcPr>
            <w:tcW w:w="1276" w:type="dxa"/>
            <w:vAlign w:val="center"/>
          </w:tcPr>
          <w:p>
            <w:pPr>
              <w:pStyle w:val="15"/>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梅江公园（二期）建设项目</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1.完成项目决算，及时完成资金拨付</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完成全部建设</w:t>
            </w:r>
          </w:p>
        </w:tc>
        <w:tc>
          <w:tcPr>
            <w:tcW w:w="3430" w:type="dxa"/>
            <w:vAlign w:val="center"/>
          </w:tcPr>
          <w:p>
            <w:pPr>
              <w:pStyle w:val="15"/>
            </w:pPr>
            <w:r>
              <w:t>完成全部建设</w:t>
            </w:r>
          </w:p>
        </w:tc>
        <w:tc>
          <w:tcPr>
            <w:tcW w:w="2551" w:type="dxa"/>
            <w:vAlign w:val="center"/>
          </w:tcPr>
          <w:p>
            <w:pPr>
              <w:pStyle w:val="15"/>
            </w:pPr>
            <w:r>
              <w:t>100百分之</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验收完成率</w:t>
            </w:r>
          </w:p>
        </w:tc>
        <w:tc>
          <w:tcPr>
            <w:tcW w:w="3430" w:type="dxa"/>
            <w:vAlign w:val="center"/>
          </w:tcPr>
          <w:p>
            <w:pPr>
              <w:pStyle w:val="15"/>
            </w:pPr>
            <w:r>
              <w:t>验收完成率</w:t>
            </w:r>
          </w:p>
        </w:tc>
        <w:tc>
          <w:tcPr>
            <w:tcW w:w="2551" w:type="dxa"/>
            <w:vAlign w:val="center"/>
          </w:tcPr>
          <w:p>
            <w:pPr>
              <w:pStyle w:val="15"/>
            </w:pPr>
            <w:r>
              <w:t>100百分之</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项目按期完成率</w:t>
            </w:r>
          </w:p>
        </w:tc>
        <w:tc>
          <w:tcPr>
            <w:tcW w:w="3430" w:type="dxa"/>
            <w:vAlign w:val="center"/>
          </w:tcPr>
          <w:p>
            <w:pPr>
              <w:pStyle w:val="15"/>
            </w:pPr>
            <w:r>
              <w:t>项目按期完成率</w:t>
            </w:r>
          </w:p>
        </w:tc>
        <w:tc>
          <w:tcPr>
            <w:tcW w:w="2551" w:type="dxa"/>
            <w:vAlign w:val="center"/>
          </w:tcPr>
          <w:p>
            <w:pPr>
              <w:pStyle w:val="15"/>
            </w:pPr>
            <w:r>
              <w:t>100百分之</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预算资金内完成</w:t>
            </w:r>
          </w:p>
        </w:tc>
        <w:tc>
          <w:tcPr>
            <w:tcW w:w="3430" w:type="dxa"/>
            <w:vAlign w:val="center"/>
          </w:tcPr>
          <w:p>
            <w:pPr>
              <w:pStyle w:val="15"/>
            </w:pPr>
            <w:r>
              <w:t>预算资金内完成</w:t>
            </w:r>
          </w:p>
        </w:tc>
        <w:tc>
          <w:tcPr>
            <w:tcW w:w="2551" w:type="dxa"/>
            <w:vAlign w:val="center"/>
          </w:tcPr>
          <w:p>
            <w:pPr>
              <w:pStyle w:val="15"/>
            </w:pPr>
            <w:r>
              <w:t>≤100百分之</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文明施工及扬尘控制</w:t>
            </w:r>
          </w:p>
        </w:tc>
        <w:tc>
          <w:tcPr>
            <w:tcW w:w="3430" w:type="dxa"/>
            <w:vAlign w:val="center"/>
          </w:tcPr>
          <w:p>
            <w:pPr>
              <w:pStyle w:val="15"/>
            </w:pPr>
            <w:r>
              <w:t>文明施工及扬尘控制</w:t>
            </w:r>
          </w:p>
        </w:tc>
        <w:tc>
          <w:tcPr>
            <w:tcW w:w="2551" w:type="dxa"/>
            <w:vAlign w:val="center"/>
          </w:tcPr>
          <w:p>
            <w:pPr>
              <w:pStyle w:val="15"/>
            </w:pPr>
            <w:r>
              <w:t>100百分之</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满意度</w:t>
            </w:r>
          </w:p>
        </w:tc>
        <w:tc>
          <w:tcPr>
            <w:tcW w:w="3430" w:type="dxa"/>
            <w:vAlign w:val="center"/>
          </w:tcPr>
          <w:p>
            <w:pPr>
              <w:pStyle w:val="15"/>
            </w:pPr>
            <w:r>
              <w:t>满意度</w:t>
            </w:r>
          </w:p>
        </w:tc>
        <w:tc>
          <w:tcPr>
            <w:tcW w:w="2551" w:type="dxa"/>
            <w:vAlign w:val="center"/>
          </w:tcPr>
          <w:p>
            <w:pPr>
              <w:pStyle w:val="15"/>
            </w:pPr>
            <w:r>
              <w:t>≥95百分之</w:t>
            </w:r>
          </w:p>
        </w:tc>
      </w:tr>
    </w:tbl>
    <w:p>
      <w:pPr>
        <w:rPr>
          <w:rFonts w:hint="eastAsia" w:eastAsiaTheme="minorEastAsia"/>
          <w:lang w:eastAsia="zh-CN"/>
        </w:rPr>
        <w:sectPr>
          <w:pgSz w:w="11900" w:h="16840"/>
          <w:pgMar w:top="1984" w:right="1304" w:bottom="1134" w:left="1304" w:header="720" w:footer="720" w:gutter="0"/>
          <w:cols w:space="720" w:num="1"/>
        </w:sect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0NzY1N2E1MWE4MTNjMmJhOTAyYWNhMTE4ODFkMDMifQ=="/>
  </w:docVars>
  <w:rsids>
    <w:rsidRoot w:val="00F75335"/>
    <w:rsid w:val="000F28F7"/>
    <w:rsid w:val="00F75335"/>
    <w:rsid w:val="1046184F"/>
    <w:rsid w:val="20217B67"/>
    <w:rsid w:val="22604A7B"/>
    <w:rsid w:val="5CDD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kern w:val="0"/>
      <w:sz w:val="24"/>
      <w:szCs w:val="24"/>
      <w:lang w:val="en-US" w:eastAsia="uk-UA"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table" w:styleId="6">
    <w:name w:val="Table Grid"/>
    <w:basedOn w:val="5"/>
    <w:autoRedefine/>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3"/>
    <w:autoRedefine/>
    <w:semiHidden/>
    <w:qFormat/>
    <w:uiPriority w:val="99"/>
    <w:rPr>
      <w:sz w:val="18"/>
      <w:szCs w:val="18"/>
    </w:rPr>
  </w:style>
  <w:style w:type="character" w:customStyle="1" w:styleId="9">
    <w:name w:val="页脚 Char"/>
    <w:basedOn w:val="7"/>
    <w:link w:val="2"/>
    <w:autoRedefine/>
    <w:semiHidden/>
    <w:qFormat/>
    <w:uiPriority w:val="99"/>
    <w:rPr>
      <w:sz w:val="18"/>
      <w:szCs w:val="18"/>
    </w:rPr>
  </w:style>
  <w:style w:type="paragraph" w:customStyle="1" w:styleId="10">
    <w:name w:val="插入文本样式-插入总体目标文件"/>
    <w:basedOn w:val="1"/>
    <w:autoRedefine/>
    <w:qFormat/>
    <w:uiPriority w:val="0"/>
    <w:pPr>
      <w:spacing w:line="500" w:lineRule="exact"/>
      <w:ind w:firstLine="560"/>
    </w:pPr>
    <w:rPr>
      <w:rFonts w:eastAsia="方正仿宋_GBK"/>
      <w:sz w:val="28"/>
    </w:rPr>
  </w:style>
  <w:style w:type="paragraph" w:customStyle="1" w:styleId="11">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12">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5"/>
    <w:basedOn w:val="1"/>
    <w:autoRedefine/>
    <w:qFormat/>
    <w:uiPriority w:val="0"/>
    <w:rPr>
      <w:rFonts w:ascii="方正书宋_GBK" w:hAnsi="方正书宋_GBK" w:eastAsia="方正书宋_GBK" w:cs="方正书宋_GBK"/>
      <w:b/>
      <w:sz w:val="21"/>
    </w:rPr>
  </w:style>
  <w:style w:type="paragraph" w:customStyle="1" w:styleId="15">
    <w:name w:val="单元格样式2"/>
    <w:basedOn w:val="1"/>
    <w:autoRedefine/>
    <w:qFormat/>
    <w:uiPriority w:val="0"/>
    <w:rPr>
      <w:rFonts w:ascii="方正书宋_GBK" w:hAnsi="方正书宋_GBK" w:eastAsia="方正书宋_GBK" w:cs="方正书宋_GBK"/>
      <w:sz w:val="21"/>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TOC 2"/>
    <w:basedOn w:val="1"/>
    <w:autoRedefine/>
    <w:qFormat/>
    <w:uiPriority w:val="0"/>
    <w:pPr>
      <w:ind w:left="240"/>
    </w:pPr>
  </w:style>
  <w:style w:type="paragraph" w:customStyle="1" w:styleId="19">
    <w:name w:val="TOC 4"/>
    <w:basedOn w:val="1"/>
    <w:autoRedefine/>
    <w:qFormat/>
    <w:uiPriority w:val="0"/>
    <w:pPr>
      <w:ind w:left="720"/>
    </w:pPr>
  </w:style>
  <w:style w:type="paragraph" w:customStyle="1" w:styleId="20">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1014</Words>
  <Characters>5782</Characters>
  <Lines>48</Lines>
  <Paragraphs>13</Paragraphs>
  <TotalTime>0</TotalTime>
  <ScaleCrop>false</ScaleCrop>
  <LinksUpToDate>false</LinksUpToDate>
  <CharactersWithSpaces>6783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2024-02-20T07:32:00Z</dcterms:created>
  <dc:creator>dell</dc:creator>
  <cp:lastModifiedBy>未定义</cp:lastModifiedBy>
  <dcterms:modified xsi:type="dcterms:W3CDTF">2024-03-11T07:37:22Z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F74FC63BD0F84EA6AB7DB7D99A113144_12</vt:lpwstr>
  </property>
</Properties>
</file>