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52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52"/>
        </w:rPr>
      </w:pPr>
    </w:p>
    <w:p>
      <w:pPr>
        <w:jc w:val="center"/>
        <w:rPr>
          <w:rFonts w:ascii="方正小标宋_GBK" w:hAnsi="方正小标宋_GBK" w:eastAsia="方正小标宋_GBK" w:cs="方正小标宋_GBK"/>
          <w:color w:val="000000"/>
          <w:sz w:val="52"/>
        </w:rPr>
      </w:pP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jc w:val="center"/>
        <w:rPr>
          <w:rFonts w:eastAsia="方正小标宋简体"/>
          <w:sz w:val="22"/>
          <w:szCs w:val="22"/>
        </w:rPr>
      </w:pPr>
      <w:r>
        <w:rPr>
          <w:rFonts w:eastAsia="方正小标宋简体"/>
          <w:color w:val="000000"/>
          <w:sz w:val="56"/>
          <w:szCs w:val="22"/>
          <w:lang w:eastAsia="zh-CN"/>
        </w:rPr>
        <w:t>项目支出绩效目标表</w:t>
      </w:r>
    </w:p>
    <w:p>
      <w:pPr>
        <w:jc w:val="center"/>
        <w:rPr>
          <w:rFonts w:eastAsia="方正小标宋简体"/>
          <w:sz w:val="52"/>
          <w:szCs w:val="52"/>
        </w:rPr>
      </w:pPr>
      <w:r>
        <w:rPr>
          <w:rFonts w:eastAsia="方正小标宋简体"/>
          <w:color w:val="000000"/>
          <w:sz w:val="52"/>
          <w:szCs w:val="52"/>
        </w:rPr>
        <w:t>（</w:t>
      </w:r>
      <w:r>
        <w:rPr>
          <w:rFonts w:eastAsia="方正小标宋简体"/>
          <w:color w:val="000000"/>
          <w:sz w:val="52"/>
          <w:szCs w:val="52"/>
          <w:lang w:eastAsia="zh-CN"/>
        </w:rPr>
        <w:t>202</w:t>
      </w:r>
      <w:r>
        <w:rPr>
          <w:rFonts w:hint="eastAsia" w:eastAsia="方正小标宋简体"/>
          <w:color w:val="000000"/>
          <w:sz w:val="52"/>
          <w:szCs w:val="52"/>
          <w:lang w:val="en-US" w:eastAsia="zh-CN"/>
        </w:rPr>
        <w:t>4</w:t>
      </w:r>
      <w:r>
        <w:rPr>
          <w:rFonts w:eastAsia="方正小标宋简体"/>
          <w:color w:val="000000"/>
          <w:sz w:val="52"/>
          <w:szCs w:val="52"/>
          <w:lang w:eastAsia="zh-CN"/>
        </w:rPr>
        <w:t>年</w:t>
      </w:r>
      <w:r>
        <w:rPr>
          <w:rFonts w:eastAsia="方正小标宋简体"/>
          <w:color w:val="000000"/>
          <w:sz w:val="52"/>
          <w:szCs w:val="52"/>
        </w:rPr>
        <w:t>）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space="720" w:num="1"/>
          <w:titlePg/>
        </w:sectPr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jc w:val="both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jc w:val="center"/>
        <w:outlineLvl w:val="0"/>
        <w:rPr>
          <w:rFonts w:ascii="黑体" w:hAnsi="黑体" w:eastAsia="黑体"/>
        </w:rPr>
      </w:pPr>
      <w:r>
        <w:rPr>
          <w:rFonts w:ascii="黑体" w:hAnsi="黑体" w:eastAsia="黑体" w:cs="方正小标宋_GBK"/>
          <w:color w:val="000000"/>
          <w:sz w:val="36"/>
        </w:rPr>
        <w:t>目    录</w:t>
      </w:r>
    </w:p>
    <w:p>
      <w:pPr>
        <w:jc w:val="center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 xml:space="preserve"> </w:t>
      </w:r>
    </w:p>
    <w:p/>
    <w:p>
      <w:pPr>
        <w:spacing w:line="360" w:lineRule="auto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sz w:val="30"/>
          <w:szCs w:val="30"/>
        </w:rPr>
        <w:t>1.2024年执法制式服装配换发项目绩效目标表</w:t>
      </w:r>
      <w:bookmarkStart w:id="2" w:name="_GoBack"/>
      <w:bookmarkEnd w:id="2"/>
    </w:p>
    <w:p>
      <w:pPr>
        <w:spacing w:line="360" w:lineRule="auto"/>
      </w:pPr>
      <w:r>
        <w:rPr>
          <w:rFonts w:hint="default" w:ascii="Times New Roman" w:hAnsi="Times New Roman" w:eastAsia="仿宋_GB2312" w:cs="Times New Roman"/>
          <w:sz w:val="30"/>
          <w:szCs w:val="30"/>
        </w:rPr>
        <w:t>2.总队2024年数字执法二级平台运维项目绩效目标表</w:t>
      </w:r>
      <w:r>
        <w:rPr>
          <w:rFonts w:hint="default" w:ascii="Times New Roman" w:hAnsi="Times New Roman" w:eastAsia="仿宋_GB2312" w:cs="Times New Roman"/>
          <w:sz w:val="30"/>
          <w:szCs w:val="30"/>
        </w:rPr>
        <w:br w:type="page"/>
      </w:r>
      <w:r>
        <w:rPr>
          <w:rFonts w:ascii="方正仿宋_GBK" w:hAnsi="方正仿宋_GBK" w:eastAsia="方正仿宋_GBK" w:cs="方正仿宋_GBK"/>
          <w:color w:val="000000"/>
          <w:sz w:val="28"/>
        </w:rPr>
        <w:t xml:space="preserve">  </w:t>
      </w:r>
    </w:p>
    <w:p>
      <w:pPr>
        <w:ind w:firstLine="560"/>
        <w:outlineLvl w:val="3"/>
      </w:pPr>
      <w:bookmarkStart w:id="0" w:name="_Toc126830450"/>
      <w:r>
        <w:rPr>
          <w:rFonts w:ascii="方正仿宋_GBK" w:hAnsi="方正仿宋_GBK" w:eastAsia="方正仿宋_GBK" w:cs="方正仿宋_GBK"/>
          <w:color w:val="000000"/>
          <w:sz w:val="28"/>
        </w:rPr>
        <w:t>1.202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color w:val="000000"/>
          <w:sz w:val="28"/>
        </w:rPr>
        <w:t>年执法制式服装配换发项目绩效目标表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326105天津市城市管理综合行政执法总队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年执法制式服装配换发项目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11</w:t>
            </w:r>
            <w:r>
              <w:t>.00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val="en-US" w:eastAsia="zh-CN"/>
              </w:rPr>
              <w:t>11</w:t>
            </w:r>
            <w:r>
              <w:t>.00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用于总队202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年度执法制式服装配换发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城市管理执法人员规范穿着制式服装和佩戴标志标识，严肃仪容仪表及执法风纪，推动执法队伍正规化建设水平进一步提高。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购置完成率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购置完成率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</w:t>
            </w:r>
            <w:r>
              <w:rPr>
                <w:rFonts w:hint="eastAsia"/>
                <w:lang w:val="en-US" w:eastAsia="zh-CN"/>
              </w:rPr>
              <w:t>95</w:t>
            </w:r>
            <w:r>
              <w:t>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购置数量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完成购置数量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</w:t>
            </w:r>
            <w:r>
              <w:rPr>
                <w:rFonts w:hint="eastAsia"/>
                <w:lang w:val="en-US" w:eastAsia="zh-CN"/>
              </w:rPr>
              <w:t>481</w:t>
            </w:r>
            <w:r>
              <w:t>件套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产品合格率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购置产品合格率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购置完成时间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购置完成时间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年</w:t>
            </w:r>
            <w:r>
              <w:rPr>
                <w:rFonts w:hint="eastAsia"/>
                <w:lang w:val="en-US" w:eastAsia="zh-CN"/>
              </w:rPr>
              <w:t>9</w:t>
            </w:r>
            <w:r>
              <w:t>月底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购置成本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购置成本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</w:t>
            </w:r>
            <w:r>
              <w:rPr>
                <w:rFonts w:hint="eastAsia"/>
                <w:lang w:val="en-US" w:eastAsia="zh-CN"/>
              </w:rPr>
              <w:t>11</w:t>
            </w:r>
            <w: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保障执法设备，满足执法需求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保障执法设备，满足执法需求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</w:t>
            </w:r>
            <w:r>
              <w:rPr>
                <w:rFonts w:hint="eastAsia"/>
                <w:lang w:val="en-US" w:eastAsia="zh-CN"/>
              </w:rPr>
              <w:t>8</w:t>
            </w:r>
            <w:r>
              <w:t>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执法人员</w:t>
            </w:r>
            <w:r>
              <w:t>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执法人员</w:t>
            </w:r>
            <w:r>
              <w:t>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≥97百分比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jc w:val="center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ind w:firstLine="560"/>
        <w:outlineLvl w:val="3"/>
      </w:pPr>
      <w:bookmarkStart w:id="1" w:name="_Toc126830451"/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2</w:t>
      </w:r>
      <w:r>
        <w:rPr>
          <w:rFonts w:ascii="方正仿宋_GBK" w:hAnsi="方正仿宋_GBK" w:eastAsia="方正仿宋_GBK" w:cs="方正仿宋_GBK"/>
          <w:color w:val="000000"/>
          <w:sz w:val="28"/>
        </w:rPr>
        <w:t>.总队202</w:t>
      </w:r>
      <w:r>
        <w:rPr>
          <w:rFonts w:hint="eastAsia" w:ascii="方正仿宋_GBK" w:hAnsi="方正仿宋_GBK" w:eastAsia="方正仿宋_GBK" w:cs="方正仿宋_GBK"/>
          <w:color w:val="000000"/>
          <w:sz w:val="28"/>
          <w:lang w:val="en-US" w:eastAsia="zh-CN"/>
        </w:rPr>
        <w:t>4</w:t>
      </w:r>
      <w:r>
        <w:rPr>
          <w:rFonts w:ascii="方正仿宋_GBK" w:hAnsi="方正仿宋_GBK" w:eastAsia="方正仿宋_GBK" w:cs="方正仿宋_GBK"/>
          <w:color w:val="000000"/>
          <w:sz w:val="28"/>
        </w:rPr>
        <w:t>年数字执法二级平台运维项目绩效目标表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843"/>
        <w:gridCol w:w="1276"/>
        <w:gridCol w:w="1276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3"/>
            </w:pPr>
            <w:r>
              <w:t>326105天津市城市管理综合行政执法总队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单位：万元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总队202</w:t>
            </w:r>
            <w:r>
              <w:rPr>
                <w:rFonts w:hint="eastAsia"/>
                <w:lang w:val="en-US" w:eastAsia="zh-CN"/>
              </w:rPr>
              <w:t>4</w:t>
            </w:r>
            <w:r>
              <w:t>年数字执法二级平台运维项目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47.3</w:t>
            </w:r>
          </w:p>
        </w:tc>
        <w:tc>
          <w:tcPr>
            <w:tcW w:w="1587" w:type="dxa"/>
            <w:vAlign w:val="center"/>
          </w:tcPr>
          <w:p>
            <w:pPr>
              <w:pStyle w:val="15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47.3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数字执法二级平台运维服务费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4"/>
            </w:pPr>
            <w:r>
              <w:t>提高日常办公、执法执勤效率，提升管理体系工作能力</w:t>
            </w:r>
          </w:p>
        </w:tc>
      </w:tr>
    </w:tbl>
    <w:p>
      <w:pPr>
        <w:spacing w:line="2" w:lineRule="exact"/>
        <w:jc w:val="center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5"/>
        <w:tblW w:w="986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3430"/>
        <w:gridCol w:w="25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5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5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5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5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6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t>硬件维护</w:t>
            </w:r>
            <w:r>
              <w:rPr>
                <w:rFonts w:hint="eastAsia"/>
                <w:lang w:eastAsia="zh-CN"/>
              </w:rPr>
              <w:t>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硬件维护</w:t>
            </w:r>
            <w:r>
              <w:rPr>
                <w:rFonts w:hint="eastAsia"/>
                <w:lang w:eastAsia="zh-CN"/>
              </w:rPr>
              <w:t>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≥97百分比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数量</w:t>
            </w:r>
            <w:r>
              <w:t>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网络覆盖率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网络通信可通率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≥97百分比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系统正常运行率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系统正常运行率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≥97百分比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核对系统日常运维响应时间及时率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核对系统日常运维响应时间及时率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≥97百分比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维修响应及时性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维修响应</w:t>
            </w:r>
            <w:r>
              <w:t>时间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≤24小时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rPr>
                <w:rFonts w:hint="eastAsia"/>
                <w:lang w:eastAsia="zh-CN"/>
              </w:rPr>
              <w:t>运行维护费用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运行维护费用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≤</w:t>
            </w:r>
            <w:r>
              <w:rPr>
                <w:rFonts w:hint="eastAsia"/>
                <w:lang w:val="en-US" w:eastAsia="zh-CN"/>
              </w:rPr>
              <w:t>47.3</w:t>
            </w:r>
            <w:r>
              <w:t>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  <w:rPr>
                <w:rFonts w:hint="eastAsia" w:eastAsia="方正书宋_GBK"/>
                <w:lang w:eastAsia="zh-CN"/>
              </w:rPr>
            </w:pPr>
            <w:r>
              <w:t>单位信息化系统正常运转，可正常</w:t>
            </w:r>
            <w:r>
              <w:rPr>
                <w:rFonts w:hint="eastAsia"/>
                <w:lang w:eastAsia="zh-CN"/>
              </w:rPr>
              <w:t>办案率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单位信息化系统正常运转，可正常</w:t>
            </w:r>
            <w:r>
              <w:rPr>
                <w:rFonts w:hint="eastAsia"/>
                <w:lang w:eastAsia="zh-CN"/>
              </w:rPr>
              <w:t>办案率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≥95百分比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6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服务对象</w:t>
            </w:r>
            <w:r>
              <w:t>满意度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rPr>
                <w:rFonts w:hint="eastAsia"/>
                <w:lang w:eastAsia="zh-CN"/>
              </w:rPr>
              <w:t>平台使用方</w:t>
            </w:r>
            <w:r>
              <w:t>满意度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≥95百分比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书宋_GBK">
    <w:altName w:val="微软雅黑"/>
    <w:panose1 w:val="02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roma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DI0NzY1N2E1MWE4MTNjMmJhOTAyYWNhMTE4ODFkMDMifQ=="/>
  </w:docVars>
  <w:rsids>
    <w:rsidRoot w:val="00AA0D2B"/>
    <w:rsid w:val="0088550D"/>
    <w:rsid w:val="00AA0D2B"/>
    <w:rsid w:val="00D31310"/>
    <w:rsid w:val="0ACD7CCB"/>
    <w:rsid w:val="208A450D"/>
    <w:rsid w:val="24EB1A2B"/>
    <w:rsid w:val="38173070"/>
    <w:rsid w:val="468E5DE5"/>
    <w:rsid w:val="6E7F9967"/>
    <w:rsid w:val="784C3DD3"/>
    <w:rsid w:val="7EF6C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uk-UA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0"/>
    <w:pPr>
      <w:spacing w:before="120"/>
    </w:pPr>
    <w:rPr>
      <w:rFonts w:eastAsia="方正仿宋_GBK"/>
      <w:color w:val="000000"/>
      <w:sz w:val="28"/>
    </w:rPr>
  </w:style>
  <w:style w:type="paragraph" w:styleId="3">
    <w:name w:val="toc 4"/>
    <w:basedOn w:val="1"/>
    <w:next w:val="1"/>
    <w:autoRedefine/>
    <w:qFormat/>
    <w:uiPriority w:val="39"/>
    <w:pPr>
      <w:ind w:left="720"/>
    </w:pPr>
  </w:style>
  <w:style w:type="paragraph" w:styleId="4">
    <w:name w:val="toc 2"/>
    <w:basedOn w:val="1"/>
    <w:next w:val="1"/>
    <w:autoRedefine/>
    <w:qFormat/>
    <w:uiPriority w:val="0"/>
    <w:pPr>
      <w:ind w:left="240"/>
    </w:pPr>
  </w:style>
  <w:style w:type="table" w:styleId="6">
    <w:name w:val="Table Grid"/>
    <w:basedOn w:val="5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</w:rPr>
  </w:style>
  <w:style w:type="paragraph" w:customStyle="1" w:styleId="9">
    <w:name w:val="插入文本样式-插入总体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0">
    <w:name w:val="插入文本样式-插入职责分类绩效目标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1">
    <w:name w:val="插入文本样式-插入实现年度发展规划目标的保障措施文件"/>
    <w:basedOn w:val="1"/>
    <w:autoRedefine/>
    <w:qFormat/>
    <w:uiPriority w:val="0"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12">
    <w:name w:val="单元格样式4"/>
    <w:basedOn w:val="1"/>
    <w:autoRedefine/>
    <w:qFormat/>
    <w:uiPriority w:val="0"/>
    <w:pPr>
      <w:jc w:val="right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5"/>
    <w:basedOn w:val="1"/>
    <w:autoRedefine/>
    <w:qFormat/>
    <w:uiPriority w:val="0"/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2"/>
    <w:basedOn w:val="1"/>
    <w:autoRedefine/>
    <w:qFormat/>
    <w:uiPriority w:val="0"/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1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3"/>
    <w:basedOn w:val="1"/>
    <w:autoRedefine/>
    <w:qFormat/>
    <w:uiPriority w:val="0"/>
    <w:pPr>
      <w:jc w:val="center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134</Pages>
  <Words>49094</Words>
  <Characters>53829</Characters>
  <Lines>512</Lines>
  <Paragraphs>144</Paragraphs>
  <TotalTime>0</TotalTime>
  <ScaleCrop>false</ScaleCrop>
  <LinksUpToDate>false</LinksUpToDate>
  <CharactersWithSpaces>54569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2023-02-09T09:15:00Z</dcterms:created>
  <dc:creator>Administrator</dc:creator>
  <cp:lastModifiedBy>未定义</cp:lastModifiedBy>
  <dcterms:modified xsi:type="dcterms:W3CDTF">2024-03-11T02:38:30Z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A1492B4F35ED4A69819E16D0B6CC713F</vt:lpwstr>
  </property>
</Properties>
</file>