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000000"/>
          <w:sz w:val="56"/>
          <w:szCs w:val="22"/>
          <w:lang w:eastAsia="zh-CN"/>
        </w:rPr>
      </w:pPr>
      <w:bookmarkStart w:id="0" w:name="_Toc_4_4_0000000019"/>
    </w:p>
    <w:p>
      <w:pPr>
        <w:jc w:val="center"/>
        <w:rPr>
          <w:rFonts w:eastAsia="方正小标宋简体"/>
          <w:color w:val="000000"/>
          <w:sz w:val="56"/>
          <w:szCs w:val="22"/>
          <w:lang w:eastAsia="zh-CN"/>
        </w:rPr>
      </w:pPr>
    </w:p>
    <w:p>
      <w:pPr>
        <w:jc w:val="center"/>
        <w:rPr>
          <w:rFonts w:eastAsia="方正小标宋简体"/>
          <w:color w:val="000000"/>
          <w:sz w:val="56"/>
          <w:szCs w:val="22"/>
          <w:lang w:eastAsia="zh-CN"/>
        </w:rPr>
      </w:pPr>
    </w:p>
    <w:p>
      <w:pPr>
        <w:jc w:val="center"/>
        <w:rPr>
          <w:rFonts w:eastAsia="方正小标宋简体"/>
          <w:color w:val="000000"/>
          <w:sz w:val="56"/>
          <w:szCs w:val="22"/>
          <w:lang w:eastAsia="zh-CN"/>
        </w:rPr>
      </w:pPr>
    </w:p>
    <w:p>
      <w:pPr>
        <w:jc w:val="center"/>
        <w:rPr>
          <w:rFonts w:eastAsia="方正小标宋简体"/>
          <w:color w:val="000000"/>
          <w:sz w:val="56"/>
          <w:szCs w:val="22"/>
          <w:lang w:eastAsia="zh-CN"/>
        </w:rPr>
      </w:pPr>
    </w:p>
    <w:p>
      <w:pPr>
        <w:jc w:val="center"/>
        <w:rPr>
          <w:rFonts w:eastAsia="方正小标宋简体"/>
          <w:color w:val="000000"/>
          <w:sz w:val="56"/>
          <w:szCs w:val="22"/>
          <w:lang w:eastAsia="zh-CN"/>
        </w:rPr>
      </w:pPr>
    </w:p>
    <w:p>
      <w:pPr>
        <w:jc w:val="center"/>
        <w:rPr>
          <w:rFonts w:eastAsia="方正小标宋简体"/>
          <w:sz w:val="22"/>
          <w:szCs w:val="22"/>
        </w:rPr>
      </w:pPr>
      <w:r>
        <w:rPr>
          <w:rFonts w:eastAsia="方正小标宋简体"/>
          <w:color w:val="000000"/>
          <w:sz w:val="56"/>
          <w:szCs w:val="22"/>
          <w:lang w:eastAsia="zh-CN"/>
        </w:rPr>
        <w:t>项目支出绩效目标表</w:t>
      </w:r>
    </w:p>
    <w:p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color w:val="000000"/>
          <w:sz w:val="52"/>
          <w:szCs w:val="52"/>
        </w:rPr>
        <w:t>（</w:t>
      </w:r>
      <w:r>
        <w:rPr>
          <w:rFonts w:eastAsia="方正小标宋简体"/>
          <w:color w:val="000000"/>
          <w:sz w:val="52"/>
          <w:szCs w:val="52"/>
          <w:lang w:eastAsia="zh-CN"/>
        </w:rPr>
        <w:t>202</w:t>
      </w:r>
      <w:r>
        <w:rPr>
          <w:rFonts w:hint="eastAsia" w:eastAsia="方正小标宋简体"/>
          <w:color w:val="000000"/>
          <w:sz w:val="52"/>
          <w:szCs w:val="52"/>
          <w:lang w:val="en-US" w:eastAsia="zh-CN"/>
        </w:rPr>
        <w:t>4</w:t>
      </w:r>
      <w:r>
        <w:rPr>
          <w:rFonts w:eastAsia="方正小标宋简体"/>
          <w:color w:val="000000"/>
          <w:sz w:val="52"/>
          <w:szCs w:val="52"/>
          <w:lang w:eastAsia="zh-CN"/>
        </w:rPr>
        <w:t>年</w:t>
      </w:r>
      <w:r>
        <w:rPr>
          <w:rFonts w:eastAsia="方正小标宋简体"/>
          <w:color w:val="000000"/>
          <w:sz w:val="52"/>
          <w:szCs w:val="52"/>
        </w:rPr>
        <w:t>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录</w:t>
      </w:r>
    </w:p>
    <w:p>
      <w:pPr>
        <w:ind w:firstLine="560"/>
        <w:outlineLvl w:val="3"/>
        <w:rPr>
          <w:rFonts w:hint="eastAsia" w:ascii="方正仿宋_GBK" w:hAnsi="方正仿宋_GBK" w:eastAsia="方正仿宋_GBK" w:cs="方正仿宋_GBK"/>
          <w:b/>
          <w:bCs/>
          <w:sz w:val="28"/>
          <w:lang w:eastAsia="zh-CN"/>
        </w:rPr>
      </w:pPr>
    </w:p>
    <w:p>
      <w:pPr>
        <w:spacing w:line="360" w:lineRule="auto"/>
        <w:outlineLvl w:val="3"/>
        <w:rPr>
          <w:rFonts w:hint="default" w:ascii="Times New Roman" w:hAnsi="Times New Roman" w:eastAsia="方正仿宋_GBK" w:cs="Times New Roman"/>
          <w:b w:val="0"/>
          <w:bCs w:val="0"/>
          <w:sz w:val="28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lang w:eastAsia="zh-CN"/>
        </w:rPr>
        <w:t>.景观中心2024年天津站世纪钟日常维护管理项目绩效目标表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lang w:eastAsia="zh-CN"/>
        </w:rPr>
        <w:tab/>
      </w:r>
    </w:p>
    <w:p>
      <w:pPr>
        <w:spacing w:line="360" w:lineRule="auto"/>
        <w:outlineLvl w:val="3"/>
        <w:rPr>
          <w:rFonts w:hint="default" w:ascii="Times New Roman" w:hAnsi="Times New Roman" w:eastAsia="方正仿宋_GBK" w:cs="Times New Roman"/>
          <w:b w:val="0"/>
          <w:bCs w:val="0"/>
          <w:sz w:val="28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lang w:eastAsia="zh-CN"/>
        </w:rPr>
        <w:t>2.市市容景观服务中心2024年天津市夜景灯光联动控制系统运维项目绩效目标表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lang w:eastAsia="zh-CN"/>
        </w:rPr>
        <w:tab/>
      </w:r>
    </w:p>
    <w:p>
      <w:pPr>
        <w:spacing w:line="360" w:lineRule="auto"/>
        <w:outlineLvl w:val="3"/>
        <w:rPr>
          <w:rFonts w:hint="default" w:ascii="Times New Roman" w:hAnsi="Times New Roman" w:eastAsia="方正仿宋_GBK" w:cs="Times New Roman"/>
          <w:b w:val="0"/>
          <w:bCs w:val="0"/>
          <w:sz w:val="28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lang w:eastAsia="zh-CN"/>
        </w:rPr>
        <w:t>.市市容景观服务中心2024年天津市夜景灯光启闭监控系统运维项目绩效目标表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lang w:eastAsia="zh-CN"/>
        </w:rPr>
        <w:tab/>
      </w:r>
    </w:p>
    <w:p>
      <w:pPr>
        <w:spacing w:line="360" w:lineRule="auto"/>
        <w:outlineLvl w:val="3"/>
        <w:rPr>
          <w:rFonts w:hint="default" w:ascii="Times New Roman" w:hAnsi="Times New Roman" w:eastAsia="方正仿宋_GBK" w:cs="Times New Roman"/>
          <w:b w:val="0"/>
          <w:bCs w:val="0"/>
          <w:sz w:val="28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lang w:eastAsia="zh-CN"/>
        </w:rPr>
        <w:t>.市市容景观服务中心2024年迎全运夜景灯光设施年度运维项目绩效目标表</w:t>
      </w:r>
    </w:p>
    <w:p>
      <w:pPr>
        <w:spacing w:line="360" w:lineRule="auto"/>
        <w:outlineLvl w:val="3"/>
        <w:rPr>
          <w:rFonts w:hint="default" w:ascii="Times New Roman" w:hAnsi="Times New Roman" w:eastAsia="方正仿宋_GBK" w:cs="Times New Roman"/>
          <w:b w:val="0"/>
          <w:bCs w:val="0"/>
          <w:sz w:val="28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lang w:eastAsia="zh-CN"/>
        </w:rPr>
        <w:t>.景观中心2024年度历史遗留问题项目（自有资金300万）绩效目标表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lang w:eastAsia="zh-CN"/>
        </w:rPr>
        <w:tab/>
      </w:r>
    </w:p>
    <w:p>
      <w:pPr>
        <w:spacing w:line="360" w:lineRule="auto"/>
        <w:outlineLvl w:val="3"/>
        <w:rPr>
          <w:rFonts w:hint="default" w:ascii="Times New Roman" w:hAnsi="Times New Roman" w:eastAsia="方正仿宋_GBK" w:cs="Times New Roman"/>
          <w:b w:val="0"/>
          <w:bCs w:val="0"/>
          <w:sz w:val="28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lang w:eastAsia="zh-CN"/>
        </w:rPr>
        <w:t>.景观中心2024年度历史遗留问题项目（自有资金）绩效目标表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lang w:eastAsia="zh-CN"/>
        </w:rPr>
        <w:tab/>
      </w:r>
    </w:p>
    <w:p>
      <w:pPr>
        <w:spacing w:line="360" w:lineRule="auto"/>
        <w:outlineLvl w:val="3"/>
        <w:rPr>
          <w:rFonts w:hint="default" w:ascii="Times New Roman" w:hAnsi="Times New Roman" w:eastAsia="方正仿宋_GBK" w:cs="Times New Roman"/>
          <w:b w:val="0"/>
          <w:bCs w:val="0"/>
          <w:sz w:val="28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lang w:eastAsia="zh-CN"/>
        </w:rPr>
        <w:t>.市市容景观服务中心2024年节日气氛布置项目绩效目标表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lang w:eastAsia="zh-CN"/>
        </w:rPr>
        <w:tab/>
      </w:r>
    </w:p>
    <w:p>
      <w:pPr>
        <w:spacing w:line="360" w:lineRule="auto"/>
        <w:outlineLvl w:val="3"/>
        <w:rPr>
          <w:rFonts w:hint="eastAsia" w:ascii="方正仿宋_GBK" w:hAnsi="方正仿宋_GBK" w:eastAsia="方正仿宋_GBK" w:cs="方正仿宋_GBK"/>
          <w:b w:val="0"/>
          <w:bCs w:val="0"/>
          <w:sz w:val="28"/>
          <w:lang w:eastAsia="zh-CN"/>
        </w:rPr>
      </w:pPr>
    </w:p>
    <w:p>
      <w:pPr>
        <w:spacing w:line="360" w:lineRule="auto"/>
        <w:outlineLvl w:val="3"/>
        <w:rPr>
          <w:rFonts w:hint="eastAsia" w:ascii="方正仿宋_GBK" w:hAnsi="方正仿宋_GBK" w:eastAsia="方正仿宋_GBK" w:cs="方正仿宋_GBK"/>
          <w:b w:val="0"/>
          <w:bCs w:val="0"/>
          <w:sz w:val="28"/>
          <w:lang w:eastAsia="zh-CN"/>
        </w:rPr>
      </w:pPr>
    </w:p>
    <w:p>
      <w:pPr>
        <w:spacing w:line="360" w:lineRule="auto"/>
        <w:outlineLvl w:val="3"/>
        <w:rPr>
          <w:rFonts w:hint="eastAsia" w:ascii="方正仿宋_GBK" w:hAnsi="方正仿宋_GBK" w:eastAsia="方正仿宋_GBK" w:cs="方正仿宋_GBK"/>
          <w:b w:val="0"/>
          <w:bCs w:val="0"/>
          <w:sz w:val="28"/>
          <w:lang w:eastAsia="zh-CN"/>
        </w:rPr>
      </w:pPr>
    </w:p>
    <w:p>
      <w:pPr>
        <w:spacing w:line="360" w:lineRule="auto"/>
        <w:outlineLvl w:val="3"/>
        <w:rPr>
          <w:rFonts w:hint="eastAsia" w:ascii="方正仿宋_GBK" w:hAnsi="方正仿宋_GBK" w:eastAsia="方正仿宋_GBK" w:cs="方正仿宋_GBK"/>
          <w:b w:val="0"/>
          <w:bCs w:val="0"/>
          <w:sz w:val="28"/>
          <w:lang w:eastAsia="zh-CN"/>
        </w:rPr>
      </w:pPr>
    </w:p>
    <w:p>
      <w:pPr>
        <w:spacing w:line="360" w:lineRule="auto"/>
        <w:outlineLvl w:val="3"/>
        <w:rPr>
          <w:rFonts w:hint="eastAsia" w:ascii="方正仿宋_GBK" w:hAnsi="方正仿宋_GBK" w:eastAsia="方正仿宋_GBK" w:cs="方正仿宋_GBK"/>
          <w:b w:val="0"/>
          <w:bCs w:val="0"/>
          <w:sz w:val="28"/>
          <w:lang w:eastAsia="zh-CN"/>
        </w:rPr>
      </w:pPr>
    </w:p>
    <w:p>
      <w:pPr>
        <w:spacing w:line="360" w:lineRule="auto"/>
        <w:outlineLvl w:val="3"/>
        <w:rPr>
          <w:rFonts w:hint="eastAsia" w:ascii="方正仿宋_GBK" w:hAnsi="方正仿宋_GBK" w:eastAsia="方正仿宋_GBK" w:cs="方正仿宋_GBK"/>
          <w:b w:val="0"/>
          <w:bCs w:val="0"/>
          <w:sz w:val="28"/>
          <w:lang w:eastAsia="zh-CN"/>
        </w:rPr>
      </w:pPr>
    </w:p>
    <w:p>
      <w:pPr>
        <w:spacing w:line="360" w:lineRule="auto"/>
        <w:outlineLvl w:val="3"/>
        <w:rPr>
          <w:rFonts w:hint="eastAsia" w:ascii="方正仿宋_GBK" w:hAnsi="方正仿宋_GBK" w:eastAsia="方正仿宋_GBK" w:cs="方正仿宋_GBK"/>
          <w:b w:val="0"/>
          <w:bCs w:val="0"/>
          <w:sz w:val="28"/>
          <w:lang w:eastAsia="zh-CN"/>
        </w:rPr>
      </w:pPr>
    </w:p>
    <w:p>
      <w:pPr>
        <w:spacing w:line="360" w:lineRule="auto"/>
        <w:outlineLvl w:val="3"/>
        <w:rPr>
          <w:rFonts w:hint="eastAsia" w:ascii="方正仿宋_GBK" w:hAnsi="方正仿宋_GBK" w:eastAsia="方正仿宋_GBK" w:cs="方正仿宋_GBK"/>
          <w:b w:val="0"/>
          <w:bCs w:val="0"/>
          <w:sz w:val="28"/>
          <w:lang w:eastAsia="zh-CN"/>
        </w:rPr>
      </w:pPr>
    </w:p>
    <w:p>
      <w:pPr>
        <w:spacing w:line="360" w:lineRule="auto"/>
        <w:outlineLvl w:val="3"/>
        <w:rPr>
          <w:rFonts w:hint="eastAsia" w:ascii="方正仿宋_GBK" w:hAnsi="方正仿宋_GBK" w:eastAsia="方正仿宋_GBK" w:cs="方正仿宋_GBK"/>
          <w:b w:val="0"/>
          <w:bCs w:val="0"/>
          <w:sz w:val="28"/>
          <w:lang w:eastAsia="zh-CN"/>
        </w:rPr>
      </w:pPr>
    </w:p>
    <w:p>
      <w:pPr>
        <w:spacing w:line="360" w:lineRule="auto"/>
        <w:outlineLvl w:val="3"/>
        <w:rPr>
          <w:rFonts w:hint="eastAsia" w:ascii="方正仿宋_GBK" w:hAnsi="方正仿宋_GBK" w:eastAsia="方正仿宋_GBK" w:cs="方正仿宋_GBK"/>
          <w:b w:val="0"/>
          <w:bCs w:val="0"/>
          <w:sz w:val="28"/>
          <w:lang w:eastAsia="zh-CN"/>
        </w:rPr>
      </w:pPr>
    </w:p>
    <w:p>
      <w:pPr>
        <w:spacing w:line="360" w:lineRule="auto"/>
        <w:outlineLvl w:val="3"/>
        <w:rPr>
          <w:rFonts w:hint="eastAsia" w:ascii="方正仿宋_GBK" w:hAnsi="方正仿宋_GBK" w:eastAsia="方正仿宋_GBK" w:cs="方正仿宋_GBK"/>
          <w:b w:val="0"/>
          <w:bCs w:val="0"/>
          <w:sz w:val="28"/>
          <w:lang w:eastAsia="zh-CN"/>
        </w:rPr>
      </w:pPr>
    </w:p>
    <w:p>
      <w:pPr>
        <w:spacing w:line="360" w:lineRule="auto"/>
        <w:outlineLvl w:val="3"/>
        <w:rPr>
          <w:rFonts w:hint="eastAsia" w:ascii="方正仿宋_GBK" w:hAnsi="方正仿宋_GBK" w:eastAsia="方正仿宋_GBK" w:cs="方正仿宋_GBK"/>
          <w:b w:val="0"/>
          <w:bCs w:val="0"/>
          <w:sz w:val="28"/>
          <w:lang w:eastAsia="zh-CN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bookmarkEnd w:id="0"/>
    <w:p>
      <w:pPr>
        <w:ind w:firstLine="560"/>
        <w:outlineLvl w:val="3"/>
      </w:pPr>
      <w:bookmarkStart w:id="1" w:name="_Toc_4_4_0000000026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.景观中心2024年天津站世纪钟日常维护管理项目绩效目标表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326202天津市市容景观服务中心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景观中心2024年天津站世纪钟日常维护管理项目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25.17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25.17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 xml:space="preserve">完成天津站世纪钟定期维护保养，为天津市地标构筑物的正常运转提供了保障.提高全体市民及来津游客满意度。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1.完成天津站世纪钟定期维护保养，为天津市地标构筑物的正常运转提供了保障,提高全体市民及来津游客满意度.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完成设施维保数量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反映天津站世纪钟维护情况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养护维修质量合格率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反映养护维修质量合格情况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项目完成及时性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反映项目完成的及时程度和效率情况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反映项目总成本情况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≤25.17万元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对降低故障发生率、大修几率的影响程度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反映项目的实施对降低故障发生率、大修几率的影响程度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保障天津市地标构筑物正常运转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全体市民及来津游客满意度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≥98%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2" w:name="_Toc_4_4_0000000027"/>
      <w:r>
        <w:rPr>
          <w:rFonts w:ascii="方正仿宋_GBK" w:hAnsi="方正仿宋_GBK" w:eastAsia="方正仿宋_GBK" w:cs="方正仿宋_GBK"/>
          <w:sz w:val="28"/>
        </w:rPr>
        <w:t>2.市市容景观服务中心2024年天津市夜景灯光联动控制系统运维项目绩效目标表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326202天津市市容景观服务中心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市市容景观服务中心2024年天津市夜景灯光联动控制系统运维项目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53.60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53.60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确保奥体周边18栋楼联动灯光系统运行正常,播放画面内容准确流畅,不出现违法违规内容.确保分布在海河沿线及重点灯光保障地段的监控系统运行正常,画面清晰/运行流畅.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1.保障联动监控系统正常运行,保障联动夜景灯光实时启闭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日常维护信息系统数量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反映日常维护信息系统数量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信息系统日常维护合格率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反映夜景灯光联动控制系统日常维护合格情况，验收合格数量与项目总量的比值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信息系统故障修复响应时间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反映信息系统故障修复及时响应程度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≤2小时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反映项目总成本情况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≤53.6万元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对工作效率、管理和决策支持的改善或提升程度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对保障机构稳定运转、发挥职能的改善或提升程度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保障联动系统正常运转，提高工作效率和管理水平，充分发挥部门职能。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反映服务对象对联动控制系统维修维护的认可程度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≥98%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3" w:name="_Toc_4_4_0000000028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28"/>
        </w:rPr>
        <w:t>.市市容景观服务中心2024年天津市夜景灯光启闭监控系统运维项目绩效目标表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326202天津市市容景观服务中心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市市容景观服务中心2024年天津市夜景灯光启闭监控系统运维项目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60.40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60.40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保障监控系统正常运行,保障夜景灯光实时启闭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1.保障监控系统正常运行,保障夜景灯光实时启闭</w:t>
            </w:r>
          </w:p>
          <w:p>
            <w:pPr>
              <w:pStyle w:val="15"/>
            </w:pPr>
          </w:p>
        </w:tc>
      </w:tr>
    </w:tbl>
    <w:p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日常维护信息系统数量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反映日常维护信息系统数量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信息系统日常维护合格率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反映夜景灯光启闭监控系统日常维护合格情况，验收合格数量与项目总量的比值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信息系统故障修复响应时间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反映信息系统故障修复及时响应程度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≤2小时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反映项目总成本情况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≤60.4万元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对工作效率、管理和决策支持的改善或提升程度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对保障机构稳定运转、发挥职能的改善或提升程度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保障启闭系统正常运转，提高工作效率和管理水平，充分发挥部门职能。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反映服务对象对启闭监控系统维修维护的认可程度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≥98%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4" w:name="_Toc_4_4_0000000029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28"/>
        </w:rPr>
        <w:t>.市市容景观服务中心2024年迎全运夜景灯光设施年度运维项目绩效目标表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326202天津市市容景观服务中心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市市容景观服务中心2024年迎全运夜景灯光设施年度运维项目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31.40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31.40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为维护建设成果,资金主要用于全面加强2017年迎全运夜景灯光提升改造工程灯光设施正常运行维护,营造我市良好营商环境.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1.维护夜景灯光设施,保障灯光整体效果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完成照明设施维保数量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反映桥梁灯光设施维护数量情况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9个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设施完好率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设施完好率满足&lt;天津市城市照明管理规定&gt;要求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项目总计划完成时间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 xml:space="preserve">项目总计划完成时间 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反映项目总成本情况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≤31.4万元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对保障城市照明的影响或改善程度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反映项目的实施对保障城市照明的影响或改善程度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保障城市照明效果,提高城市知名度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反映服务对象对照明设施维修维护的认可程度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≥98%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5" w:name="_Toc_4_4_0000000030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28"/>
        </w:rPr>
        <w:t>.景观中心2024年度历史遗留问题项目（自有资金300万）绩效目标表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326202天津市市容景观服务中心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景观中心2024年度历史遗留问题项目（自有资金300万）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300.00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300.00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拨付解决历史遗留问题款项.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1.化解法律风险和信访维稳风险，积极稳妥做好历史遗留问题处置.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解决历史遗留问题项目数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反映解决历史遗留项目数量情况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经费支出合规性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是否严格执行相关财经法规、制度等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严格执行相关财经 法规、制度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项目总计划完成时间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项目总计划完成时间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反映项目总成本情况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≤300万元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对单位履职、促进事业发展的影响或提升程度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反映项目的实施对单位履职、促进事业发展的影响或提升程度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维护办公秩序、社会稳定，保护国有资产及施工人权益，明显推动城市管理管理事业转型升级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反映服务对象对解决历史遗留问题的满意度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6" w:name="_Toc_4_4_0000000031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6</w:t>
      </w:r>
      <w:r>
        <w:rPr>
          <w:rFonts w:ascii="方正仿宋_GBK" w:hAnsi="方正仿宋_GBK" w:eastAsia="方正仿宋_GBK" w:cs="方正仿宋_GBK"/>
          <w:sz w:val="28"/>
        </w:rPr>
        <w:t>.景观中心2024年度历史遗留问题项目（自有资金）绩效目标表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326202天津市市容景观服务中心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景观中心2024年度历史遗留问题项目（自有资金）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1350.00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1350.00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拨付解决历史遗留问题款项.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1.化解法律风险和信访维稳风险，积极稳妥做好历史遗留问题处置 ,盘活市容景观服务中心账面资金，减轻资金压力.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解决历史遗留问题项目数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反映解决历史遗留项目数量情况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≥3个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经费支出合规性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是否严格执行相关财经法规、制度等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严格执行相关财经 法规、制度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项目总计划完成时间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项目总计划完成时间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反映项目总成本情况</w:t>
            </w:r>
          </w:p>
          <w:p>
            <w:pPr>
              <w:pStyle w:val="15"/>
            </w:pP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≤1350万元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对单位履职、促进事业发展的影响或提升程度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反映项目的实施对单位履职、促进事业发展的影响或提升程度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维护办公秩序、社会稳定，保护国有资产及施工人权益，明显推动城市管理管理事业转型升级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反映服务对象对解决历史遗留问题的满意度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7" w:name="_Toc_4_4_0000000032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7</w:t>
      </w:r>
      <w:r>
        <w:rPr>
          <w:rFonts w:ascii="方正仿宋_GBK" w:hAnsi="方正仿宋_GBK" w:eastAsia="方正仿宋_GBK" w:cs="方正仿宋_GBK"/>
          <w:sz w:val="28"/>
        </w:rPr>
        <w:t>.市市容景观服务中心2024年节日气氛布置项目绩效目标表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326202天津市市容景观服务中心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市市容景观服务中心2024年节日气氛布置项目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173.79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173.79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用于2024年五一、国庆及2025年春节节日气氛布置,以“灯杆式国旗、灯箱式国旗、灯杆式福字灯笼、灯杆式中国结、灯光秀”等元素烘托节日气氛.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1.保障重大节日气氛效果,灯光秀明亮有特色，国旗鲜艳无损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节日布置设施采购数量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反映采购节日布置升挂国旗数量情况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3766杆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节日布置设施采购数量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反映采购节日布置灯箱式国旗数量情况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876杆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节日布置设施采购数量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反映采购节日布置灯杆式中国结数量情况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304杆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节日布置设施采购数量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反映采购节日布置灯杆福字灯笼数量情况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132杆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节日布置设施采购数量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反映采购节日布置灯光秀时长情况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9分钟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节日布置设施验收质量合格率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反映节日布置设施验收合格情况（验收合格数量/采购总量）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节日设施布置计划各阶段完成时间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节日设施布置各阶段完成时间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至少于春节，五一，国庆等重大节日前一天完成布展元素布置工作，确保如期布展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反映项目总成本情况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≤173.79万元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对居民的节日气氛提高程度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反映项目的实施对居民生活满意度、幸福度提高程度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营造安定和谐、白天俏夜晚靓的美轮美奂的节日氛围，有效烘托重大节日节点节日氛围，提升天津靓丽形象，提升人民获得感、满足感。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公众满意度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反映公众对节日布置的满意程度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≥98%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rPr>
          <w:rFonts w:eastAsiaTheme="minorEastAsia"/>
          <w:lang w:eastAsia="zh-CN"/>
        </w:rPr>
      </w:pPr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I0NzY1N2E1MWE4MTNjMmJhOTAyYWNhMTE4ODFkMDMifQ=="/>
  </w:docVars>
  <w:rsids>
    <w:rsidRoot w:val="00F75335"/>
    <w:rsid w:val="000C628E"/>
    <w:rsid w:val="000F28F7"/>
    <w:rsid w:val="00187965"/>
    <w:rsid w:val="00600CB0"/>
    <w:rsid w:val="006057A6"/>
    <w:rsid w:val="006F2658"/>
    <w:rsid w:val="00984C9E"/>
    <w:rsid w:val="00F75335"/>
    <w:rsid w:val="1F1B5E14"/>
    <w:rsid w:val="5564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kern w:val="0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table" w:styleId="6">
    <w:name w:val="Table Grid"/>
    <w:basedOn w:val="5"/>
    <w:autoRedefine/>
    <w:qFormat/>
    <w:uiPriority w:val="0"/>
    <w:rPr>
      <w:rFonts w:ascii="Times New Roman" w:hAnsi="Times New Roman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2"/>
    <w:autoRedefine/>
    <w:semiHidden/>
    <w:qFormat/>
    <w:uiPriority w:val="99"/>
    <w:rPr>
      <w:sz w:val="18"/>
      <w:szCs w:val="18"/>
    </w:rPr>
  </w:style>
  <w:style w:type="paragraph" w:customStyle="1" w:styleId="10">
    <w:name w:val="插入文本样式-插入总体目标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插入文本样式-插入职责分类绩效目标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2">
    <w:name w:val="插入文本样式-插入实现年度发展规划目标的保障措施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3">
    <w:name w:val="单元格样式4"/>
    <w:basedOn w:val="1"/>
    <w:autoRedefine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5"/>
    <w:basedOn w:val="1"/>
    <w:autoRedefine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2"/>
    <w:basedOn w:val="1"/>
    <w:autoRedefine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1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3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8">
    <w:name w:val="TOC 2"/>
    <w:basedOn w:val="1"/>
    <w:autoRedefine/>
    <w:qFormat/>
    <w:uiPriority w:val="0"/>
    <w:pPr>
      <w:ind w:left="240"/>
    </w:pPr>
  </w:style>
  <w:style w:type="paragraph" w:customStyle="1" w:styleId="19">
    <w:name w:val="TOC 4"/>
    <w:basedOn w:val="1"/>
    <w:autoRedefine/>
    <w:qFormat/>
    <w:uiPriority w:val="0"/>
    <w:pPr>
      <w:ind w:left="720"/>
    </w:pPr>
  </w:style>
  <w:style w:type="paragraph" w:customStyle="1" w:styleId="20">
    <w:name w:val="TOC 1"/>
    <w:basedOn w:val="1"/>
    <w:autoRedefine/>
    <w:qFormat/>
    <w:uiPriority w:val="0"/>
    <w:pPr>
      <w:spacing w:before="120"/>
    </w:pPr>
    <w:rPr>
      <w:rFonts w:eastAsia="方正仿宋_GBK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610</Words>
  <Characters>3479</Characters>
  <Lines>28</Lines>
  <Paragraphs>8</Paragraphs>
  <TotalTime>0</TotalTime>
  <ScaleCrop>false</ScaleCrop>
  <LinksUpToDate>false</LinksUpToDate>
  <CharactersWithSpaces>4081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2024-02-20T07:32:00Z</dcterms:created>
  <dc:creator>dell</dc:creator>
  <cp:lastModifiedBy>未定义</cp:lastModifiedBy>
  <dcterms:modified xsi:type="dcterms:W3CDTF">2024-03-11T03:15:06Z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35F9635BA5784A7A96CE9EEBA753D19B_12</vt:lpwstr>
  </property>
</Properties>
</file>