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  <w:bookmarkStart w:id="0" w:name="_Toc_4_4_0000000019"/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sz w:val="22"/>
          <w:szCs w:val="22"/>
        </w:rPr>
      </w:pPr>
      <w:r>
        <w:rPr>
          <w:rFonts w:eastAsia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4</w:t>
      </w:r>
      <w:r>
        <w:rPr>
          <w:rFonts w:eastAsia="方正小标宋简体"/>
          <w:color w:val="000000"/>
          <w:sz w:val="52"/>
          <w:szCs w:val="52"/>
          <w:lang w:eastAsia="zh-CN"/>
        </w:rPr>
        <w:t>年</w:t>
      </w:r>
      <w:r>
        <w:rPr>
          <w:rFonts w:eastAsia="方正小标宋简体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录</w:t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.垃圾处理中心2024年度垃圾处理、双口大韩庄运维及渗滤液处理项目（一般公共预算）绩效目标表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.垃圾处理中心2024年度垃圾处理、双口大韩庄运维及渗滤液处理项目（政府性基金）绩效目标表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3.垃圾处理中心2024年度展厅提升改造绩效目标表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4.垃圾处理中心2024年度公厕维护保养监控系统绩效目标表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.垃圾处理中心2024年度环卫机扫水洗作业统计监控系统绩效目标表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.垃圾处理中心2024年解决双口长聘人员问题项目（自有资金）绩效目标表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ab/>
      </w:r>
    </w:p>
    <w:bookmarkEnd w:id="0"/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1" w:name="_Toc_4_4_0000000040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7" w:name="_GoBack"/>
      <w:bookmarkEnd w:id="7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</w:pP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.垃圾处理中心2024年度垃圾处理、双口大韩庄运维及渗滤液处理项目（一般公共预算）绩效目标表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326205天津市垃圾分类处理中心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垃圾处理中心2024年度垃圾处理、双口大韩庄运维及渗滤液处理项目（一般公共预算）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21063.00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21063.00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2024年垃圾处理、双口大韩庄运维及渗滤液处理工作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1.高质量完成垃圾无害化处理工作，进一步提升和改善城市生态环境质量。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 处理的垃圾量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反映生活垃圾处理垃圾量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≥94.78万吨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渗滤液处理站处理能力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反映渗滤液处理站处理能力相关指标的完成值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≥14万吨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生活垃圾无害化处理达标率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评估生活垃圾无害化处理采用的技术，包括焚烧、填埋、厌氧消化等技术的效果和安全性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渗滤液处理设施出水水质达标率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渗滤液处理设施出水水质达标率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安全管理达标率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评估填埋场的安全管理措施，包括防火、防爆、防渗漏等方面的指标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生活垃圾处理时效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生活垃圾处理时效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日产日清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处理设备利用率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评估生活垃圾处理设备的利用率，即设备运行时间与总时间的比值。高利用率表示设备运行效率高。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生活垃圾处理、填埋场运维及渗滤液处理总成本控制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评估填埋场的运营成本，包括人工成本、能源消耗、设备维护等指标，确保运营成本在可控范围内。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≤21063万元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填埋场社会影响评估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评估填埋场对周围社区的影响，包括噪音、气味、交通等方面的指标，确保填埋场对社区的影响最小化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环境影响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评估生活垃圾无害化处理对周围环境的影响，包括水质、空气质量等方面的指标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周边居民接受度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评估周边居民对垃圾填埋场的环境卫生状况的接受度，包括垃圾场周围是否有异味、垃圾是否堆放整齐、是否有垃圾外溢等情况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701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41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.垃圾处理中心2024年度垃圾处理、双口大韩庄运维及渗滤液处理项目（政府性基金）绩效目标表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326205天津市垃圾分类处理中心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垃圾处理中心2024年度垃圾处理、双口大韩庄运维及渗滤液处理项目（政府性基金）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2024年垃圾处理、双口大韩庄运维及渗滤液处理工作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1.高质量完成垃圾无害化处理工作，进一步提升和改善城市生态环境质量。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 处理的垃圾量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反映生活垃圾处理垃圾量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≥94.78万吨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渗滤液处理站处理能力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反映渗滤液处理站处理能力相关指标的完成值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≥14万吨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报道次数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反映对重要事项的报道次数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宣传活动参加人数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反映宣传活动参加人数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生活垃圾无害化处理达标率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评估生活垃圾无害化处理采用的技术，包括焚烧、填埋、厌氧消化等技术的效果和安全性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渗滤液处理设施出水水质达标率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渗滤液处理设施出水水质达标率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安全管理达标率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评估填埋场的安全管理措施，包括防火、防爆、防渗漏等方面的指标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宣传文案合格率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反映宣传文案合规情况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上级媒体（部 门）采纳的篇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反映宣传稿件优良 程度（分别按中央 级、省级、市级、 县级进行区分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生活垃圾处理时效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生活垃圾处理时效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日产日清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处理设备利用率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评估生活垃圾处理设备的利用率，即设备运行时间与总时间的比值。高利用率表示设备运行效率高。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宣传报道时效性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反映宣传报道及时性程度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及时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生活垃圾处理、填埋场运维及渗滤液处理总成本控制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评估填埋场的运营成本，包括人工成本、能源消耗、设备维护等指标，确保运营成本在可控范围内。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填埋场社会影响评估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评估填埋场对周围社区的影响，包括噪音、气味、交通等方面的指标，确保填埋场对社区的影响最小化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环境影响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评估生活垃圾无害化处理对周围环境的影响，包括水质、空气质量等方面的指标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周边居民接受度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评估周边居民对垃圾填埋场的环境卫生状况的接受度，包括垃圾场周围是否有异味、垃圾是否堆放整齐、是否有垃圾外溢等情况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42"/>
      <w:r>
        <w:rPr>
          <w:rFonts w:ascii="方正仿宋_GBK" w:hAnsi="方正仿宋_GBK" w:eastAsia="方正仿宋_GBK" w:cs="方正仿宋_GBK"/>
          <w:sz w:val="28"/>
        </w:rPr>
        <w:t>3.垃圾处理中心2024年度展厅提升改造绩效目标表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326205天津市垃圾分类处理中心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垃圾处理中心2024年度展厅提升改造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2024年是垃圾处理中心展厅提升改造项目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1.目标内容1保证展厅大屏系统正常运行</w:t>
            </w:r>
          </w:p>
          <w:p>
            <w:pPr>
              <w:pStyle w:val="15"/>
            </w:pPr>
            <w:r>
              <w:t>2.目标内容2保障数据与备份安全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展厅面积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反映展厅面积情况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展品、设备设施质量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反映展厅中展品、设备设施的质量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宣传教育效果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反映展厅对推广垃圾分类起到的宣传教育的效果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展厅运营成本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反映展厅运维成本的情况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响应时间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响应时间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垃圾分类意识提升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通过展示大厅的宣传和教育活动，提高公众对垃圾分类的意识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促进垃圾减量和资源回收的效果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通过展示大厅的引导和示范，促使公众积极参与垃圾分类，减少垃圾产生，并增加可回收物的回收率。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环境保护的效果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垃圾分类可以减少垃圾对环境的污染，保护土壤和水资源的质量。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参观群众对宣传培训认可度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反映参观群众对宣传培训效果认可度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43"/>
      <w:r>
        <w:rPr>
          <w:rFonts w:ascii="方正仿宋_GBK" w:hAnsi="方正仿宋_GBK" w:eastAsia="方正仿宋_GBK" w:cs="方正仿宋_GBK"/>
          <w:sz w:val="28"/>
        </w:rPr>
        <w:t>4.垃圾处理中心2024年度公厕维护保养监控系统绩效目标表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326205天津市垃圾分类处理中心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垃圾处理中心2024年度公厕维护保养监控系统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2.20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2.20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2024年公厕维护保养监控系统作业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1.目标内容1保障系统正常运行</w:t>
            </w:r>
          </w:p>
          <w:p>
            <w:pPr>
              <w:pStyle w:val="15"/>
            </w:pPr>
            <w:r>
              <w:t>2.目标内容2保障数据与备份安全</w:t>
            </w:r>
          </w:p>
          <w:p>
            <w:pPr>
              <w:pStyle w:val="15"/>
            </w:pPr>
            <w:r>
              <w:t>3.目标内容3保障系统可用性时间在99.5%以上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项目覆盖单位或市县区数量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反映项目覆盖单位或市县区数量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日常维护信息系统数量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反映日常维护信息系统数量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系统运行事故发生频率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反映信息化系统运行质量情况，事发生次数与系统运行时间的比值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信息系统日常维护合格率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反映信息系统日常维护合格情况，验收合格数量与项目总量的比值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系统功能达标率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反映信息化系统运行质量情况，系统功能模块符合标准数量与全部模块数量的比值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经费支出合规性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严格执行相关财经法规、制度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严格执行相关财经法规、制度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信息系统故障修复响应时间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反映信息系统故障修复及时响应程度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≤15分钟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系统运维及升级改造成本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反映系统运维及升级改造成本控制情况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≤2.2万元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对延长设备生命周期、降低故障率的影响程度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通过项目的实施对延长设备生命周期、降低故障率的影响程度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对减少财政投资成本的改善程度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通过项目的实施对减少财政投资成本的改善程度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对提高公共服务能力和效率的改善或提升程度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通过项目的实施对提高公共服务能力和效率的改善或提升程度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对推动“互联网+”发展的影响程度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反映信息化系统促进“互联网+”发展情况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对减少硬件能耗支出，实现节能减排的影响程度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通过信息化手段对减少硬件能耗支出，实现节能减排的影响程度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信息化系统建设为提高政府公信力提供长期保障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反映通过信息化系统建设，促进政府公开，提高政府公信力程度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对推动“互联网+”发展的持续影响程度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通过项目的实施对推动“互联网+”发展的持续影响程度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对提高公共服务能力和效率的持续影响程度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通过项目的实施对提高公共服务能力和效率的持续影响程度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反映服务对象或项目受益人对相关产出及其影响的认可程度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_4_4_0000000044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.垃圾处理中心2024年度环卫机扫水洗作业统计监控系统绩效目标表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326205天津市垃圾分类处理中心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垃圾处理中心2024年度环卫机扫水洗作业统计监控系统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7.60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7.60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2024年度环卫机扫水洗作业统计系统工作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1.目标内容1保障环卫机扫水洗作业监控统计系统正常运行</w:t>
            </w:r>
          </w:p>
          <w:p>
            <w:pPr>
              <w:pStyle w:val="15"/>
            </w:pPr>
            <w:r>
              <w:t>2.目标内容2保证日常报表、周总结报告、月总结报表等正常生成</w:t>
            </w:r>
          </w:p>
          <w:p>
            <w:pPr>
              <w:pStyle w:val="15"/>
            </w:pPr>
            <w:r>
              <w:t>3.目标内容3保证数据库表和相关数据定期定时备份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项目覆盖单位或市县区数量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反映项目覆盖单位或市县区数量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日常维护信息系统数量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反映日常维护信息系统数量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系统运行事故发生频率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反映信息化系统运行质量情况，事故发生次数与系统运行时间的比值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信息系统日常维护合格率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反映信息系统日常维护合格情况，验收合格数量与项目总量的比值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系统功能达标率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反映信息化系统运行质量情况，系统功能模块符合标准数量与全部模块数量的比值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经费支出合规性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严格执行相关财经法规、制度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严格执行相关财经法规、制度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信息系统故障修复响应时间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反映信息系统故障修复及时响应程度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系统运维及升级改造成本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反映系统运维及升级改造成本控制情况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≤7.6万元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对延长设备生命周期、降低故障率的影响程度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通过项目的实施对延长设备生命周期、降低故障率的影响程度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对减少财政投资成本的改善程度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通过项目的实施对减少财政投资成本的改善程度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对提高公共服务能力和效率的改善或提升程度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通过项目的实施对提高公共服务能力和效率的改善或提升程度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对推动“互联网+”发展的影响程度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反映信息化系统促进“互联网+”发展情况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对减少硬件能耗支出，实现节能减排的影响程度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通过信息化手段对减少硬件能耗支出，实现节能减排的影响程度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信息化系统建设为提高政府公信力提供长期保障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反映通过信息化系统建设，促进政府公开，提高政府公信力程度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对推动“互联网+”发展的持续影响程度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通过项目的实施对推动“互联网+”发展的持续影响程度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对提高公共服务能力和效率的持续影响程度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通过项目的实施对提高公共服务能力和效率的持续影响程度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反映服务对象或项目受益人对相关产出及其影响的认可程度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_4_4_0000000045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6</w:t>
      </w:r>
      <w:r>
        <w:rPr>
          <w:rFonts w:ascii="方正仿宋_GBK" w:hAnsi="方正仿宋_GBK" w:eastAsia="方正仿宋_GBK" w:cs="方正仿宋_GBK"/>
          <w:sz w:val="28"/>
        </w:rPr>
        <w:t>.垃圾处理中心2024年解决双口长聘人员问题项目（自有资金）绩效目标表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326205天津市垃圾分类处理中心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垃圾处理中心2024年解决双口长聘人员问题项目（自有资金）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351.50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351.50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2024年解决双口长聘人员问题项目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1.根据《中华人民共和国劳动合同法》，与双口填埋场合同制人员解除劳动合同，减少填埋场运维人员支出，有效降低信访诉讼风险，确保填埋场平稳运维。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解聘人员数量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解聘人员数量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≥17人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解除程序规范性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解除程序规范性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严格按照劳动合同法有关规定执行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经济补偿支出合规性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经济补偿支出合规性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严格按照劳动合同法有关规定测算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解除完成情况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解除完成情况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全部完成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解除完成时间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解除完成时间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2024年12月31日前完成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协商解除或强制解除支付经济补偿或赔偿金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协商解除或强制解除支付经济补偿或赔偿金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≤352万元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降低人员社保公积金支出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降低人员社保公积金支出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降低人员工资福利支出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降低人员工资福利支出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≥44万元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降低诉讼上访风险影响程度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降低诉讼上访风险影响程度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消除对填埋场平稳运维影响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消除对填埋场平稳运维影响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解聘人员接受度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解聘人员接受度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rPr>
          <w:rFonts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NzY1N2E1MWE4MTNjMmJhOTAyYWNhMTE4ODFkMDMifQ=="/>
  </w:docVars>
  <w:rsids>
    <w:rsidRoot w:val="00F75335"/>
    <w:rsid w:val="000F28F7"/>
    <w:rsid w:val="00187965"/>
    <w:rsid w:val="00366177"/>
    <w:rsid w:val="00614505"/>
    <w:rsid w:val="006F2658"/>
    <w:rsid w:val="00984C9E"/>
    <w:rsid w:val="00D44244"/>
    <w:rsid w:val="00F75335"/>
    <w:rsid w:val="2B0F7255"/>
    <w:rsid w:val="410544E2"/>
    <w:rsid w:val="58E57860"/>
    <w:rsid w:val="70B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table" w:styleId="6">
    <w:name w:val="Table Grid"/>
    <w:basedOn w:val="5"/>
    <w:autoRedefine/>
    <w:qFormat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uiPriority w:val="99"/>
    <w:rPr>
      <w:sz w:val="18"/>
      <w:szCs w:val="18"/>
    </w:rPr>
  </w:style>
  <w:style w:type="paragraph" w:customStyle="1" w:styleId="10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TOC 2"/>
    <w:basedOn w:val="1"/>
    <w:autoRedefine/>
    <w:qFormat/>
    <w:uiPriority w:val="0"/>
    <w:pPr>
      <w:ind w:left="240"/>
    </w:pPr>
  </w:style>
  <w:style w:type="paragraph" w:customStyle="1" w:styleId="19">
    <w:name w:val="TOC 4"/>
    <w:basedOn w:val="1"/>
    <w:autoRedefine/>
    <w:qFormat/>
    <w:uiPriority w:val="0"/>
    <w:pPr>
      <w:ind w:left="720"/>
    </w:pPr>
  </w:style>
  <w:style w:type="paragraph" w:customStyle="1" w:styleId="20">
    <w:name w:val="TOC 1"/>
    <w:basedOn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838</Words>
  <Characters>4779</Characters>
  <Lines>39</Lines>
  <Paragraphs>11</Paragraphs>
  <TotalTime>0</TotalTime>
  <ScaleCrop>false</ScaleCrop>
  <LinksUpToDate>false</LinksUpToDate>
  <CharactersWithSpaces>5606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2024-02-20T07:32:00Z</dcterms:created>
  <dc:creator>dell</dc:creator>
  <cp:lastModifiedBy>未定义</cp:lastModifiedBy>
  <dcterms:modified xsi:type="dcterms:W3CDTF">2024-03-11T03:11:38Z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953B877DC7934168AAC43EDE83754C0C_12</vt:lpwstr>
  </property>
</Properties>
</file>