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000000"/>
          <w:sz w:val="56"/>
          <w:szCs w:val="22"/>
          <w:lang w:eastAsia="zh-CN"/>
        </w:rPr>
      </w:pPr>
      <w:bookmarkStart w:id="0" w:name="_Toc_4_4_0000000019"/>
    </w:p>
    <w:p>
      <w:pPr>
        <w:jc w:val="center"/>
        <w:rPr>
          <w:rFonts w:eastAsia="方正小标宋简体"/>
          <w:color w:val="000000"/>
          <w:sz w:val="56"/>
          <w:szCs w:val="22"/>
          <w:lang w:eastAsia="zh-CN"/>
        </w:rPr>
      </w:pPr>
    </w:p>
    <w:p>
      <w:pPr>
        <w:jc w:val="center"/>
        <w:rPr>
          <w:rFonts w:eastAsia="方正小标宋简体"/>
          <w:color w:val="000000"/>
          <w:sz w:val="56"/>
          <w:szCs w:val="22"/>
          <w:lang w:eastAsia="zh-CN"/>
        </w:rPr>
      </w:pPr>
    </w:p>
    <w:p>
      <w:pPr>
        <w:jc w:val="center"/>
        <w:rPr>
          <w:rFonts w:eastAsia="方正小标宋简体"/>
          <w:color w:val="000000"/>
          <w:sz w:val="56"/>
          <w:szCs w:val="22"/>
          <w:lang w:eastAsia="zh-CN"/>
        </w:rPr>
      </w:pPr>
    </w:p>
    <w:p>
      <w:pPr>
        <w:jc w:val="center"/>
        <w:rPr>
          <w:rFonts w:eastAsia="方正小标宋简体"/>
          <w:color w:val="000000"/>
          <w:sz w:val="56"/>
          <w:szCs w:val="22"/>
          <w:lang w:eastAsia="zh-CN"/>
        </w:rPr>
      </w:pPr>
    </w:p>
    <w:p>
      <w:pPr>
        <w:jc w:val="center"/>
        <w:rPr>
          <w:rFonts w:eastAsia="方正小标宋简体"/>
          <w:color w:val="000000"/>
          <w:sz w:val="56"/>
          <w:szCs w:val="22"/>
          <w:lang w:eastAsia="zh-CN"/>
        </w:rPr>
      </w:pP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w:t>
      </w:r>
      <w:r>
        <w:rPr>
          <w:rFonts w:hint="eastAsia" w:eastAsia="方正小标宋简体"/>
          <w:color w:val="000000"/>
          <w:sz w:val="52"/>
          <w:szCs w:val="52"/>
          <w:lang w:val="en-US" w:eastAsia="zh-CN"/>
        </w:rPr>
        <w:t>4</w:t>
      </w:r>
      <w:r>
        <w:rPr>
          <w:rFonts w:eastAsia="方正小标宋简体"/>
          <w:color w:val="000000"/>
          <w:sz w:val="52"/>
          <w:szCs w:val="52"/>
          <w:lang w:eastAsia="zh-CN"/>
        </w:rPr>
        <w:t>年</w:t>
      </w:r>
      <w:r>
        <w:rPr>
          <w:rFonts w:eastAsia="方正小标宋简体"/>
          <w:color w:val="000000"/>
          <w:sz w:val="52"/>
          <w:szCs w:val="52"/>
        </w:rPr>
        <w:t>）</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0"/>
      </w:pPr>
      <w:r>
        <w:rPr>
          <w:rFonts w:ascii="方正小标宋_GBK" w:hAnsi="方正小标宋_GBK" w:eastAsia="方正小标宋_GBK" w:cs="方正小标宋_GBK"/>
          <w:sz w:val="36"/>
        </w:rPr>
        <w:t>目    录</w:t>
      </w:r>
    </w:p>
    <w:p>
      <w:pPr>
        <w:spacing w:line="360" w:lineRule="auto"/>
        <w:outlineLvl w:val="3"/>
        <w:rPr>
          <w:rFonts w:hint="default" w:ascii="Times New Roman" w:hAnsi="Times New Roman" w:eastAsia="方正仿宋_GBK" w:cs="Times New Roman"/>
          <w:sz w:val="28"/>
          <w:lang w:val="en-US" w:eastAsia="zh-CN"/>
        </w:rPr>
      </w:pPr>
    </w:p>
    <w:p>
      <w:pPr>
        <w:spacing w:line="360" w:lineRule="auto"/>
        <w:outlineLvl w:val="3"/>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1</w:t>
      </w:r>
      <w:r>
        <w:rPr>
          <w:rFonts w:hint="default" w:ascii="Times New Roman" w:hAnsi="Times New Roman" w:eastAsia="方正仿宋_GBK" w:cs="Times New Roman"/>
          <w:sz w:val="28"/>
          <w:lang w:eastAsia="zh-CN"/>
        </w:rPr>
        <w:t>.考核中心2024年度“以克论净”检测考核项目绩效目标表</w:t>
      </w:r>
      <w:r>
        <w:rPr>
          <w:rFonts w:hint="default" w:ascii="Times New Roman" w:hAnsi="Times New Roman" w:eastAsia="方正仿宋_GBK" w:cs="Times New Roman"/>
          <w:sz w:val="28"/>
          <w:lang w:eastAsia="zh-CN"/>
        </w:rPr>
        <w:tab/>
      </w:r>
    </w:p>
    <w:p>
      <w:pPr>
        <w:spacing w:line="360" w:lineRule="auto"/>
        <w:outlineLvl w:val="3"/>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2</w:t>
      </w:r>
      <w:r>
        <w:rPr>
          <w:rFonts w:hint="default" w:ascii="Times New Roman" w:hAnsi="Times New Roman" w:eastAsia="方正仿宋_GBK" w:cs="Times New Roman"/>
          <w:sz w:val="28"/>
          <w:lang w:eastAsia="zh-CN"/>
        </w:rPr>
        <w:t>.考核中心2024年度天津市城市管理“以奖代补”考核信息采集项目绩效目标表</w:t>
      </w:r>
      <w:r>
        <w:rPr>
          <w:rFonts w:hint="default" w:ascii="Times New Roman" w:hAnsi="Times New Roman" w:eastAsia="方正仿宋_GBK" w:cs="Times New Roman"/>
          <w:sz w:val="28"/>
          <w:lang w:eastAsia="zh-CN"/>
        </w:rPr>
        <w:tab/>
      </w:r>
    </w:p>
    <w:p>
      <w:pPr>
        <w:spacing w:line="360" w:lineRule="auto"/>
        <w:outlineLvl w:val="3"/>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3</w:t>
      </w:r>
      <w:r>
        <w:rPr>
          <w:rFonts w:hint="default" w:ascii="Times New Roman" w:hAnsi="Times New Roman" w:eastAsia="方正仿宋_GBK" w:cs="Times New Roman"/>
          <w:sz w:val="28"/>
          <w:lang w:eastAsia="zh-CN"/>
        </w:rPr>
        <w:t>.考核中心2024年市数字化城市管理平台视频图像监控系统运维项目绩效目标表</w:t>
      </w:r>
      <w:r>
        <w:rPr>
          <w:rFonts w:hint="default" w:ascii="Times New Roman" w:hAnsi="Times New Roman" w:eastAsia="方正仿宋_GBK" w:cs="Times New Roman"/>
          <w:sz w:val="28"/>
          <w:lang w:eastAsia="zh-CN"/>
        </w:rPr>
        <w:tab/>
      </w:r>
    </w:p>
    <w:p>
      <w:pPr>
        <w:spacing w:line="360" w:lineRule="auto"/>
        <w:outlineLvl w:val="3"/>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4</w:t>
      </w:r>
      <w:r>
        <w:rPr>
          <w:rFonts w:hint="default" w:ascii="Times New Roman" w:hAnsi="Times New Roman" w:eastAsia="方正仿宋_GBK" w:cs="Times New Roman"/>
          <w:sz w:val="28"/>
          <w:lang w:eastAsia="zh-CN"/>
        </w:rPr>
        <w:t>.考核中心2024年天津市城市管理委员会网络舆情监测服务绩效目标表</w:t>
      </w:r>
      <w:r>
        <w:rPr>
          <w:rFonts w:hint="default" w:ascii="Times New Roman" w:hAnsi="Times New Roman" w:eastAsia="方正仿宋_GBK" w:cs="Times New Roman"/>
          <w:sz w:val="28"/>
          <w:lang w:eastAsia="zh-CN"/>
        </w:rPr>
        <w:tab/>
      </w:r>
    </w:p>
    <w:p>
      <w:pPr>
        <w:spacing w:line="360" w:lineRule="auto"/>
        <w:outlineLvl w:val="3"/>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5</w:t>
      </w:r>
      <w:r>
        <w:rPr>
          <w:rFonts w:hint="default" w:ascii="Times New Roman" w:hAnsi="Times New Roman" w:eastAsia="方正仿宋_GBK" w:cs="Times New Roman"/>
          <w:sz w:val="28"/>
          <w:lang w:eastAsia="zh-CN"/>
        </w:rPr>
        <w:t>.考核中心2024年天津市数字化城市管理系统运维项目绩效目标表</w:t>
      </w:r>
      <w:r>
        <w:rPr>
          <w:rFonts w:hint="default" w:ascii="Times New Roman" w:hAnsi="Times New Roman" w:eastAsia="方正仿宋_GBK" w:cs="Times New Roman"/>
          <w:sz w:val="28"/>
          <w:lang w:eastAsia="zh-CN"/>
        </w:rPr>
        <w:tab/>
      </w:r>
    </w:p>
    <w:p>
      <w:pPr>
        <w:spacing w:line="360" w:lineRule="auto"/>
        <w:outlineLvl w:val="3"/>
        <w:rPr>
          <w:rFonts w:hint="default" w:ascii="Times New Roman" w:hAnsi="Times New Roman" w:eastAsia="方正仿宋_GBK" w:cs="Times New Roman"/>
          <w:sz w:val="28"/>
          <w:lang w:eastAsia="zh-CN"/>
        </w:rPr>
      </w:pPr>
      <w:r>
        <w:rPr>
          <w:rFonts w:hint="default" w:ascii="Times New Roman" w:hAnsi="Times New Roman" w:eastAsia="方正仿宋_GBK" w:cs="Times New Roman"/>
          <w:sz w:val="28"/>
          <w:lang w:val="en-US" w:eastAsia="zh-CN"/>
        </w:rPr>
        <w:t>6</w:t>
      </w:r>
      <w:r>
        <w:rPr>
          <w:rFonts w:hint="default" w:ascii="Times New Roman" w:hAnsi="Times New Roman" w:eastAsia="方正仿宋_GBK" w:cs="Times New Roman"/>
          <w:sz w:val="28"/>
          <w:lang w:eastAsia="zh-CN"/>
        </w:rPr>
        <w:t>.考核中心2024年委财务审计监督一张网运维项目绩效目标表</w:t>
      </w:r>
      <w:r>
        <w:rPr>
          <w:rFonts w:hint="default" w:ascii="Times New Roman" w:hAnsi="Times New Roman" w:eastAsia="方正仿宋_GBK" w:cs="Times New Roman"/>
          <w:sz w:val="28"/>
          <w:lang w:eastAsia="zh-CN"/>
        </w:rPr>
        <w:tab/>
      </w:r>
    </w:p>
    <w:p>
      <w:pPr>
        <w:spacing w:line="360" w:lineRule="auto"/>
        <w:outlineLvl w:val="3"/>
        <w:rPr>
          <w:rFonts w:hint="eastAsia" w:ascii="方正仿宋_GBK" w:hAnsi="方正仿宋_GBK" w:eastAsia="方正仿宋_GBK" w:cs="方正仿宋_GBK"/>
          <w:sz w:val="28"/>
          <w:lang w:eastAsia="zh-CN"/>
        </w:rPr>
      </w:pPr>
      <w:r>
        <w:rPr>
          <w:rFonts w:hint="default" w:ascii="Times New Roman" w:hAnsi="Times New Roman" w:eastAsia="方正仿宋_GBK" w:cs="Times New Roman"/>
          <w:sz w:val="28"/>
          <w:lang w:val="en-US" w:eastAsia="zh-CN"/>
        </w:rPr>
        <w:t>7</w:t>
      </w:r>
      <w:r>
        <w:rPr>
          <w:rFonts w:hint="default" w:ascii="Times New Roman" w:hAnsi="Times New Roman" w:eastAsia="方正仿宋_GBK" w:cs="Times New Roman"/>
          <w:sz w:val="28"/>
          <w:lang w:eastAsia="zh-CN"/>
        </w:rPr>
        <w:t>.考核中心2024年委视频会议及城市管理指挥调度系统运维项目绩效目标表</w:t>
      </w:r>
      <w:r>
        <w:rPr>
          <w:rFonts w:hint="eastAsia" w:ascii="方正仿宋_GBK" w:hAnsi="方正仿宋_GBK" w:eastAsia="方正仿宋_GBK" w:cs="方正仿宋_GBK"/>
          <w:sz w:val="28"/>
          <w:lang w:eastAsia="zh-CN"/>
        </w:rPr>
        <w:tab/>
      </w:r>
    </w:p>
    <w:p>
      <w:pPr>
        <w:spacing w:line="360" w:lineRule="auto"/>
        <w:outlineLvl w:val="3"/>
        <w:rPr>
          <w:rFonts w:hint="eastAsia" w:ascii="方正仿宋_GBK" w:hAnsi="方正仿宋_GBK" w:eastAsia="方正仿宋_GBK" w:cs="方正仿宋_GBK"/>
          <w:sz w:val="28"/>
          <w:lang w:eastAsia="zh-CN"/>
        </w:rPr>
      </w:pPr>
    </w:p>
    <w:p>
      <w:pPr>
        <w:spacing w:line="360" w:lineRule="auto"/>
        <w:outlineLvl w:val="3"/>
        <w:rPr>
          <w:rFonts w:hint="eastAsia" w:ascii="方正仿宋_GBK" w:hAnsi="方正仿宋_GBK" w:eastAsia="方正仿宋_GBK" w:cs="方正仿宋_GBK"/>
          <w:sz w:val="28"/>
          <w:lang w:eastAsia="zh-CN"/>
        </w:rPr>
      </w:pPr>
    </w:p>
    <w:p>
      <w:pPr>
        <w:spacing w:line="360" w:lineRule="auto"/>
        <w:outlineLvl w:val="3"/>
        <w:rPr>
          <w:rFonts w:hint="eastAsia" w:ascii="方正仿宋_GBK" w:hAnsi="方正仿宋_GBK" w:eastAsia="方正仿宋_GBK" w:cs="方正仿宋_GBK"/>
          <w:sz w:val="28"/>
          <w:lang w:eastAsia="zh-CN"/>
        </w:rPr>
      </w:pPr>
    </w:p>
    <w:p>
      <w:pPr>
        <w:spacing w:line="360" w:lineRule="auto"/>
        <w:outlineLvl w:val="3"/>
        <w:rPr>
          <w:rFonts w:hint="eastAsia" w:ascii="方正仿宋_GBK" w:hAnsi="方正仿宋_GBK" w:eastAsia="方正仿宋_GBK" w:cs="方正仿宋_GBK"/>
          <w:sz w:val="28"/>
          <w:lang w:eastAsia="zh-CN"/>
        </w:rPr>
      </w:pPr>
    </w:p>
    <w:p>
      <w:pPr>
        <w:spacing w:line="360" w:lineRule="auto"/>
        <w:outlineLvl w:val="3"/>
        <w:rPr>
          <w:rFonts w:hint="eastAsia" w:ascii="方正仿宋_GBK" w:hAnsi="方正仿宋_GBK" w:eastAsia="方正仿宋_GBK" w:cs="方正仿宋_GBK"/>
          <w:sz w:val="28"/>
          <w:lang w:eastAsia="zh-CN"/>
        </w:rPr>
      </w:pPr>
    </w:p>
    <w:p>
      <w:pPr>
        <w:spacing w:line="360" w:lineRule="auto"/>
        <w:outlineLvl w:val="3"/>
        <w:rPr>
          <w:rFonts w:hint="eastAsia" w:ascii="方正仿宋_GBK" w:hAnsi="方正仿宋_GBK" w:eastAsia="方正仿宋_GBK" w:cs="方正仿宋_GBK"/>
          <w:sz w:val="28"/>
          <w:lang w:eastAsia="zh-CN"/>
        </w:rPr>
      </w:pPr>
    </w:p>
    <w:p>
      <w:pPr>
        <w:spacing w:line="360" w:lineRule="auto"/>
        <w:outlineLvl w:val="3"/>
        <w:rPr>
          <w:rFonts w:hint="eastAsia" w:ascii="方正仿宋_GBK" w:hAnsi="方正仿宋_GBK" w:eastAsia="方正仿宋_GBK" w:cs="方正仿宋_GBK"/>
          <w:sz w:val="28"/>
          <w:lang w:eastAsia="zh-CN"/>
        </w:rPr>
      </w:pPr>
    </w:p>
    <w:p>
      <w:pPr>
        <w:spacing w:line="360" w:lineRule="auto"/>
        <w:outlineLvl w:val="3"/>
        <w:rPr>
          <w:rFonts w:hint="eastAsia" w:ascii="方正仿宋_GBK" w:hAnsi="方正仿宋_GBK" w:eastAsia="方正仿宋_GBK" w:cs="方正仿宋_GBK"/>
          <w:sz w:val="28"/>
          <w:lang w:eastAsia="zh-CN"/>
        </w:rPr>
      </w:pPr>
    </w:p>
    <w:p>
      <w:pPr>
        <w:spacing w:line="360" w:lineRule="auto"/>
        <w:outlineLvl w:val="3"/>
        <w:rPr>
          <w:rFonts w:hint="eastAsia" w:ascii="方正仿宋_GBK" w:hAnsi="方正仿宋_GBK" w:eastAsia="方正仿宋_GBK" w:cs="方正仿宋_GBK"/>
          <w:sz w:val="28"/>
          <w:lang w:eastAsia="zh-CN"/>
        </w:rPr>
      </w:pPr>
    </w:p>
    <w:p>
      <w:pPr>
        <w:spacing w:line="360" w:lineRule="auto"/>
        <w:outlineLvl w:val="3"/>
        <w:rPr>
          <w:rFonts w:hint="eastAsia"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bookmarkEnd w:id="0"/>
    <w:p>
      <w:pPr>
        <w:ind w:firstLine="560"/>
        <w:outlineLvl w:val="3"/>
      </w:pPr>
      <w:bookmarkStart w:id="1" w:name="_Toc_4_4_0000000046"/>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.考核中心2024年度“以克论净”检测考核项目绩效目标表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考核中心2024年度“以克论净”检测考核项目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152.30</w:t>
            </w:r>
          </w:p>
        </w:tc>
        <w:tc>
          <w:tcPr>
            <w:tcW w:w="1587" w:type="dxa"/>
            <w:vAlign w:val="center"/>
          </w:tcPr>
          <w:p>
            <w:pPr>
              <w:pStyle w:val="16"/>
            </w:pPr>
            <w:r>
              <w:t>其中：财政    资金</w:t>
            </w:r>
          </w:p>
        </w:tc>
        <w:tc>
          <w:tcPr>
            <w:tcW w:w="1843" w:type="dxa"/>
            <w:vAlign w:val="center"/>
          </w:tcPr>
          <w:p>
            <w:pPr>
              <w:pStyle w:val="15"/>
            </w:pPr>
            <w:r>
              <w:t>152.30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用于支付2024年度“以克论净”检测考核项目费用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1.全年对我市6500余条次城市道路进行“以克论净”检测考核，提高道路清扫保洁监督评估管理水平</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道路检测数</w:t>
            </w:r>
          </w:p>
        </w:tc>
        <w:tc>
          <w:tcPr>
            <w:tcW w:w="3430" w:type="dxa"/>
            <w:vAlign w:val="center"/>
          </w:tcPr>
          <w:p>
            <w:pPr>
              <w:pStyle w:val="15"/>
            </w:pPr>
            <w:r>
              <w:t>道路检测数</w:t>
            </w:r>
          </w:p>
        </w:tc>
        <w:tc>
          <w:tcPr>
            <w:tcW w:w="2551" w:type="dxa"/>
            <w:vAlign w:val="center"/>
          </w:tcPr>
          <w:p>
            <w:pPr>
              <w:pStyle w:val="15"/>
            </w:pPr>
            <w:r>
              <w:t>≥6500条次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道路检测点位数</w:t>
            </w:r>
          </w:p>
        </w:tc>
        <w:tc>
          <w:tcPr>
            <w:tcW w:w="3430" w:type="dxa"/>
            <w:vAlign w:val="center"/>
          </w:tcPr>
          <w:p>
            <w:pPr>
              <w:pStyle w:val="15"/>
            </w:pPr>
            <w:r>
              <w:t>道路检测点位数</w:t>
            </w:r>
          </w:p>
        </w:tc>
        <w:tc>
          <w:tcPr>
            <w:tcW w:w="2551" w:type="dxa"/>
            <w:vAlign w:val="center"/>
          </w:tcPr>
          <w:p>
            <w:pPr>
              <w:pStyle w:val="15"/>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按月度检测考核</w:t>
            </w:r>
          </w:p>
        </w:tc>
        <w:tc>
          <w:tcPr>
            <w:tcW w:w="3430" w:type="dxa"/>
            <w:vAlign w:val="center"/>
          </w:tcPr>
          <w:p>
            <w:pPr>
              <w:pStyle w:val="15"/>
            </w:pPr>
            <w:r>
              <w:t>按月度检测考核</w:t>
            </w:r>
          </w:p>
        </w:tc>
        <w:tc>
          <w:tcPr>
            <w:tcW w:w="2551" w:type="dxa"/>
            <w:vAlign w:val="center"/>
          </w:tcPr>
          <w:p>
            <w:pPr>
              <w:pStyle w:val="15"/>
            </w:pPr>
            <w:r>
              <w:t>每月按照工作计划进行检测考核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项目支出经费</w:t>
            </w:r>
          </w:p>
        </w:tc>
        <w:tc>
          <w:tcPr>
            <w:tcW w:w="3430" w:type="dxa"/>
            <w:vAlign w:val="center"/>
          </w:tcPr>
          <w:p>
            <w:pPr>
              <w:pStyle w:val="15"/>
            </w:pPr>
            <w:r>
              <w:t>项目支出经费</w:t>
            </w:r>
          </w:p>
        </w:tc>
        <w:tc>
          <w:tcPr>
            <w:tcW w:w="2551" w:type="dxa"/>
            <w:vAlign w:val="center"/>
          </w:tcPr>
          <w:p>
            <w:pPr>
              <w:pStyle w:val="15"/>
            </w:pPr>
            <w:r>
              <w:t>≤152.3万元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生态效益指标</w:t>
            </w:r>
          </w:p>
        </w:tc>
        <w:tc>
          <w:tcPr>
            <w:tcW w:w="1332" w:type="dxa"/>
            <w:vAlign w:val="center"/>
          </w:tcPr>
          <w:p>
            <w:pPr>
              <w:pStyle w:val="15"/>
            </w:pPr>
            <w:r>
              <w:t>生态环境</w:t>
            </w:r>
          </w:p>
        </w:tc>
        <w:tc>
          <w:tcPr>
            <w:tcW w:w="3430" w:type="dxa"/>
            <w:vAlign w:val="center"/>
          </w:tcPr>
          <w:p>
            <w:pPr>
              <w:pStyle w:val="15"/>
            </w:pPr>
            <w:r>
              <w:t>生态环境</w:t>
            </w:r>
          </w:p>
        </w:tc>
        <w:tc>
          <w:tcPr>
            <w:tcW w:w="2551" w:type="dxa"/>
            <w:vAlign w:val="center"/>
          </w:tcPr>
          <w:p>
            <w:pPr>
              <w:pStyle w:val="15"/>
            </w:pPr>
            <w:r>
              <w:t>强化道路扬尘管控，提高道路清扫保洁监督评估管理水平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3430" w:type="dxa"/>
            <w:vAlign w:val="center"/>
          </w:tcPr>
          <w:p>
            <w:pPr>
              <w:pStyle w:val="15"/>
            </w:pPr>
            <w:r>
              <w:t>使用部门满意度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47"/>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.考核中心2024年度天津市城市管理“以奖代补”考核信息采集项目绩效目标表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考核中心2024年度天津市城市管理“以奖代补”考核信息采集项目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406.20</w:t>
            </w:r>
          </w:p>
        </w:tc>
        <w:tc>
          <w:tcPr>
            <w:tcW w:w="1587" w:type="dxa"/>
            <w:vAlign w:val="center"/>
          </w:tcPr>
          <w:p>
            <w:pPr>
              <w:pStyle w:val="16"/>
            </w:pPr>
            <w:r>
              <w:t>其中：财政    资金</w:t>
            </w:r>
          </w:p>
        </w:tc>
        <w:tc>
          <w:tcPr>
            <w:tcW w:w="1843" w:type="dxa"/>
            <w:vAlign w:val="center"/>
          </w:tcPr>
          <w:p>
            <w:pPr>
              <w:pStyle w:val="15"/>
            </w:pPr>
            <w:r>
              <w:t>406.20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用于支付2024年度”以奖代补“考核信息采集项目费用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1.组织市级巡查队对外环线（含）以内区域进行巡查采集工作，全年采集上报问题不低于24万件；项目整体支出费用不高于406.2万元。</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采集总量</w:t>
            </w:r>
          </w:p>
        </w:tc>
        <w:tc>
          <w:tcPr>
            <w:tcW w:w="3430" w:type="dxa"/>
            <w:vAlign w:val="center"/>
          </w:tcPr>
          <w:p>
            <w:pPr>
              <w:pStyle w:val="15"/>
            </w:pPr>
            <w:r>
              <w:t>采集总量</w:t>
            </w:r>
          </w:p>
        </w:tc>
        <w:tc>
          <w:tcPr>
            <w:tcW w:w="2551" w:type="dxa"/>
            <w:vAlign w:val="center"/>
          </w:tcPr>
          <w:p>
            <w:pPr>
              <w:pStyle w:val="15"/>
            </w:pPr>
            <w:r>
              <w:t>≥24万件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信息有效上报率</w:t>
            </w:r>
          </w:p>
        </w:tc>
        <w:tc>
          <w:tcPr>
            <w:tcW w:w="3430" w:type="dxa"/>
            <w:vAlign w:val="center"/>
          </w:tcPr>
          <w:p>
            <w:pPr>
              <w:pStyle w:val="15"/>
            </w:pPr>
            <w:r>
              <w:t>信息有效上报率</w:t>
            </w:r>
          </w:p>
        </w:tc>
        <w:tc>
          <w:tcPr>
            <w:tcW w:w="2551" w:type="dxa"/>
            <w:vAlign w:val="center"/>
          </w:tcPr>
          <w:p>
            <w:pPr>
              <w:pStyle w:val="15"/>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月度采集</w:t>
            </w:r>
          </w:p>
        </w:tc>
        <w:tc>
          <w:tcPr>
            <w:tcW w:w="3430" w:type="dxa"/>
            <w:vAlign w:val="center"/>
          </w:tcPr>
          <w:p>
            <w:pPr>
              <w:pStyle w:val="15"/>
            </w:pPr>
            <w:r>
              <w:t>月度采集总量</w:t>
            </w:r>
          </w:p>
        </w:tc>
        <w:tc>
          <w:tcPr>
            <w:tcW w:w="2551" w:type="dxa"/>
            <w:vAlign w:val="center"/>
          </w:tcPr>
          <w:p>
            <w:pPr>
              <w:pStyle w:val="15"/>
            </w:pPr>
            <w:r>
              <w:t>≥2万件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项目支出经费</w:t>
            </w:r>
          </w:p>
        </w:tc>
        <w:tc>
          <w:tcPr>
            <w:tcW w:w="3430" w:type="dxa"/>
            <w:vAlign w:val="center"/>
          </w:tcPr>
          <w:p>
            <w:pPr>
              <w:pStyle w:val="15"/>
            </w:pPr>
            <w:r>
              <w:t>项目支出经费</w:t>
            </w:r>
          </w:p>
        </w:tc>
        <w:tc>
          <w:tcPr>
            <w:tcW w:w="2551" w:type="dxa"/>
            <w:vAlign w:val="center"/>
          </w:tcPr>
          <w:p>
            <w:pPr>
              <w:pStyle w:val="15"/>
            </w:pPr>
            <w:r>
              <w:t>≤406.2万元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城市管理</w:t>
            </w:r>
          </w:p>
        </w:tc>
        <w:tc>
          <w:tcPr>
            <w:tcW w:w="3430" w:type="dxa"/>
            <w:vAlign w:val="center"/>
          </w:tcPr>
          <w:p>
            <w:pPr>
              <w:pStyle w:val="15"/>
            </w:pPr>
            <w:r>
              <w:t>城市管理</w:t>
            </w:r>
          </w:p>
        </w:tc>
        <w:tc>
          <w:tcPr>
            <w:tcW w:w="2551" w:type="dxa"/>
            <w:vAlign w:val="center"/>
          </w:tcPr>
          <w:p>
            <w:pPr>
              <w:pStyle w:val="15"/>
            </w:pPr>
            <w:r>
              <w:t>推动城市管理相关问题有效流转和按时处置，提高城市管理水平。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使用部门满意度</w:t>
            </w:r>
          </w:p>
        </w:tc>
        <w:tc>
          <w:tcPr>
            <w:tcW w:w="3430" w:type="dxa"/>
            <w:vAlign w:val="center"/>
          </w:tcPr>
          <w:p>
            <w:pPr>
              <w:pStyle w:val="15"/>
            </w:pPr>
            <w:r>
              <w:t>使用部门满意度</w:t>
            </w:r>
          </w:p>
        </w:tc>
        <w:tc>
          <w:tcPr>
            <w:tcW w:w="2551" w:type="dxa"/>
            <w:vAlign w:val="center"/>
          </w:tcPr>
          <w:p>
            <w:pPr>
              <w:pStyle w:val="15"/>
            </w:pPr>
            <w:r>
              <w:t>≥92%</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48"/>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.考核中心2024年市数字化城市管理平台视频图像监控系统运维项目绩效目标表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考核中心2024年市数字化城市管理平台视频图像监控系统运维项目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3.60</w:t>
            </w:r>
          </w:p>
        </w:tc>
        <w:tc>
          <w:tcPr>
            <w:tcW w:w="1587" w:type="dxa"/>
            <w:vAlign w:val="center"/>
          </w:tcPr>
          <w:p>
            <w:pPr>
              <w:pStyle w:val="16"/>
            </w:pPr>
            <w:r>
              <w:t>其中：财政    资金</w:t>
            </w:r>
          </w:p>
        </w:tc>
        <w:tc>
          <w:tcPr>
            <w:tcW w:w="1843" w:type="dxa"/>
            <w:vAlign w:val="center"/>
          </w:tcPr>
          <w:p>
            <w:pPr>
              <w:pStyle w:val="15"/>
            </w:pPr>
            <w:r>
              <w:t>3.60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用于支付视频图像监控的硬件运维费，以保证系统的正常运行。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视频图像监控系统是与市公安局的视频共享平台进行国标对接，实现高清视频资源的调用查看，对全市范围内进行视频监控，对视频图像监控系统的硬件设备进行运维，实现高清视频资源的调用查看，为冬季清融雪、重大活动提供现场资料。</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硬件采购（维护）数量</w:t>
            </w:r>
          </w:p>
        </w:tc>
        <w:tc>
          <w:tcPr>
            <w:tcW w:w="3430" w:type="dxa"/>
            <w:vAlign w:val="center"/>
          </w:tcPr>
          <w:p>
            <w:pPr>
              <w:pStyle w:val="15"/>
            </w:pPr>
            <w:r>
              <w:t>硬件设备维护数量</w:t>
            </w:r>
          </w:p>
        </w:tc>
        <w:tc>
          <w:tcPr>
            <w:tcW w:w="2551" w:type="dxa"/>
            <w:vAlign w:val="center"/>
          </w:tcPr>
          <w:p>
            <w:pPr>
              <w:pStyle w:val="15"/>
            </w:pPr>
            <w:r>
              <w:t>22台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正常养护率</w:t>
            </w:r>
          </w:p>
        </w:tc>
        <w:tc>
          <w:tcPr>
            <w:tcW w:w="3430" w:type="dxa"/>
            <w:vAlign w:val="center"/>
          </w:tcPr>
          <w:p>
            <w:pPr>
              <w:pStyle w:val="15"/>
            </w:pPr>
            <w:r>
              <w:t>正常养护率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系统运行维护响应时间</w:t>
            </w:r>
          </w:p>
        </w:tc>
        <w:tc>
          <w:tcPr>
            <w:tcW w:w="3430" w:type="dxa"/>
            <w:vAlign w:val="center"/>
          </w:tcPr>
          <w:p>
            <w:pPr>
              <w:pStyle w:val="15"/>
            </w:pPr>
            <w:r>
              <w:t>系统运行维护响应时间</w:t>
            </w:r>
          </w:p>
        </w:tc>
        <w:tc>
          <w:tcPr>
            <w:tcW w:w="2551" w:type="dxa"/>
            <w:vAlign w:val="center"/>
          </w:tcPr>
          <w:p>
            <w:pPr>
              <w:pStyle w:val="15"/>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项目总成本</w:t>
            </w:r>
          </w:p>
        </w:tc>
        <w:tc>
          <w:tcPr>
            <w:tcW w:w="3430" w:type="dxa"/>
            <w:vAlign w:val="center"/>
          </w:tcPr>
          <w:p>
            <w:pPr>
              <w:pStyle w:val="15"/>
            </w:pPr>
            <w:r>
              <w:t>项目总成本</w:t>
            </w:r>
          </w:p>
        </w:tc>
        <w:tc>
          <w:tcPr>
            <w:tcW w:w="2551" w:type="dxa"/>
            <w:vAlign w:val="center"/>
          </w:tcPr>
          <w:p>
            <w:pPr>
              <w:pStyle w:val="15"/>
            </w:pPr>
            <w:r>
              <w:t>不超过3.6万元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通过保障基础设施及业务系统的稳定性，确保业务平稳运行</w:t>
            </w:r>
          </w:p>
        </w:tc>
        <w:tc>
          <w:tcPr>
            <w:tcW w:w="3430" w:type="dxa"/>
            <w:vAlign w:val="center"/>
          </w:tcPr>
          <w:p>
            <w:pPr>
              <w:pStyle w:val="15"/>
            </w:pPr>
            <w:r>
              <w:t>通过保障基础设施及业务系统的稳定性，确保业务平稳运行</w:t>
            </w:r>
          </w:p>
        </w:tc>
        <w:tc>
          <w:tcPr>
            <w:tcW w:w="2551" w:type="dxa"/>
            <w:vAlign w:val="center"/>
          </w:tcPr>
          <w:p>
            <w:pPr>
              <w:pStyle w:val="15"/>
            </w:pPr>
            <w:r>
              <w:t>实现高清视频资源的调用查看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系统使用人员满意度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49"/>
      <w:r>
        <w:rPr>
          <w:rFonts w:ascii="方正仿宋_GBK" w:hAnsi="方正仿宋_GBK" w:eastAsia="方正仿宋_GBK" w:cs="方正仿宋_GBK"/>
          <w:sz w:val="28"/>
        </w:rPr>
        <w:t>4.考核中心2024年天津市城市管理委员会网络舆情监测服务绩效目标表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考核中心2024年天津市城市管理委员会网络舆情监测服务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21.00</w:t>
            </w:r>
          </w:p>
        </w:tc>
        <w:tc>
          <w:tcPr>
            <w:tcW w:w="1587" w:type="dxa"/>
            <w:vAlign w:val="center"/>
          </w:tcPr>
          <w:p>
            <w:pPr>
              <w:pStyle w:val="16"/>
            </w:pPr>
            <w:r>
              <w:t>其中：财政    资金</w:t>
            </w:r>
          </w:p>
        </w:tc>
        <w:tc>
          <w:tcPr>
            <w:tcW w:w="1843" w:type="dxa"/>
            <w:vAlign w:val="center"/>
          </w:tcPr>
          <w:p>
            <w:pPr>
              <w:pStyle w:val="15"/>
            </w:pPr>
            <w:r>
              <w:t>21.00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用于购买对市城市管理委管理范围内的舆情信息进行实时监测。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1.实现对新闻、论坛、贴吧、博客、微博、微信、图片、新闻APP、视频等有关城市管理舆情信息的全面、及时、精准监测。</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系统服务时间</w:t>
            </w:r>
          </w:p>
        </w:tc>
        <w:tc>
          <w:tcPr>
            <w:tcW w:w="3430" w:type="dxa"/>
            <w:vAlign w:val="center"/>
          </w:tcPr>
          <w:p>
            <w:pPr>
              <w:pStyle w:val="15"/>
            </w:pPr>
            <w:r>
              <w:t>系统服务时间</w:t>
            </w:r>
          </w:p>
        </w:tc>
        <w:tc>
          <w:tcPr>
            <w:tcW w:w="2551" w:type="dxa"/>
            <w:vAlign w:val="center"/>
          </w:tcPr>
          <w:p>
            <w:pPr>
              <w:pStyle w:val="15"/>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舆情信息数据推送</w:t>
            </w:r>
          </w:p>
        </w:tc>
        <w:tc>
          <w:tcPr>
            <w:tcW w:w="3430" w:type="dxa"/>
            <w:vAlign w:val="center"/>
          </w:tcPr>
          <w:p>
            <w:pPr>
              <w:pStyle w:val="15"/>
            </w:pPr>
            <w:r>
              <w:t>舆情信息数据推送</w:t>
            </w:r>
          </w:p>
        </w:tc>
        <w:tc>
          <w:tcPr>
            <w:tcW w:w="2551" w:type="dxa"/>
            <w:vAlign w:val="center"/>
          </w:tcPr>
          <w:p>
            <w:pPr>
              <w:pStyle w:val="15"/>
            </w:pPr>
            <w:r>
              <w:t>第一时间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系统预警时效</w:t>
            </w:r>
          </w:p>
        </w:tc>
        <w:tc>
          <w:tcPr>
            <w:tcW w:w="3430" w:type="dxa"/>
            <w:vAlign w:val="center"/>
          </w:tcPr>
          <w:p>
            <w:pPr>
              <w:pStyle w:val="15"/>
            </w:pPr>
            <w:r>
              <w:t>舆情信息预警时效</w:t>
            </w:r>
          </w:p>
        </w:tc>
        <w:tc>
          <w:tcPr>
            <w:tcW w:w="2551" w:type="dxa"/>
            <w:vAlign w:val="center"/>
          </w:tcPr>
          <w:p>
            <w:pPr>
              <w:pStyle w:val="15"/>
            </w:pPr>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项目总成本</w:t>
            </w:r>
          </w:p>
        </w:tc>
        <w:tc>
          <w:tcPr>
            <w:tcW w:w="3430" w:type="dxa"/>
            <w:vAlign w:val="center"/>
          </w:tcPr>
          <w:p>
            <w:pPr>
              <w:pStyle w:val="15"/>
            </w:pPr>
            <w:r>
              <w:t>项目总成本</w:t>
            </w:r>
          </w:p>
        </w:tc>
        <w:tc>
          <w:tcPr>
            <w:tcW w:w="2551" w:type="dxa"/>
            <w:vAlign w:val="center"/>
          </w:tcPr>
          <w:p>
            <w:pPr>
              <w:pStyle w:val="15"/>
            </w:pPr>
            <w:r>
              <w:t>不超过21万元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监测互联网上针对城市管理委的虚假舆情</w:t>
            </w:r>
          </w:p>
        </w:tc>
        <w:tc>
          <w:tcPr>
            <w:tcW w:w="3430" w:type="dxa"/>
            <w:vAlign w:val="center"/>
          </w:tcPr>
          <w:p>
            <w:pPr>
              <w:pStyle w:val="15"/>
            </w:pPr>
            <w:r>
              <w:t>监测互联网上针对城市管理委的虚假舆情</w:t>
            </w:r>
          </w:p>
        </w:tc>
        <w:tc>
          <w:tcPr>
            <w:tcW w:w="2551" w:type="dxa"/>
            <w:vAlign w:val="center"/>
          </w:tcPr>
          <w:p>
            <w:pPr>
              <w:pStyle w:val="15"/>
            </w:pPr>
            <w:r>
              <w:t>第一时间推送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系统使用人员满意度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50"/>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.考核中心2024年天津市数字化城市管理系统运维项目绩效目标表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考核中心2024年天津市数字化城市管理系统运维项目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194.80</w:t>
            </w:r>
          </w:p>
        </w:tc>
        <w:tc>
          <w:tcPr>
            <w:tcW w:w="1587" w:type="dxa"/>
            <w:vAlign w:val="center"/>
          </w:tcPr>
          <w:p>
            <w:pPr>
              <w:pStyle w:val="16"/>
            </w:pPr>
            <w:r>
              <w:t>其中：财政    资金</w:t>
            </w:r>
          </w:p>
        </w:tc>
        <w:tc>
          <w:tcPr>
            <w:tcW w:w="1843" w:type="dxa"/>
            <w:vAlign w:val="center"/>
          </w:tcPr>
          <w:p>
            <w:pPr>
              <w:pStyle w:val="15"/>
            </w:pPr>
            <w:r>
              <w:t>194.80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用于支付市数字化城市管理系统的硬件运维费、平台运行电费、网络运行费以及基础数据更新费用。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1.对市数字化城市管理系统的硬件设备进行维护并对系统的基础数据信息进行更新，确保系统平稳运行。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硬件采购（维护）数量</w:t>
            </w:r>
          </w:p>
        </w:tc>
        <w:tc>
          <w:tcPr>
            <w:tcW w:w="3430" w:type="dxa"/>
            <w:vAlign w:val="center"/>
          </w:tcPr>
          <w:p>
            <w:pPr>
              <w:pStyle w:val="15"/>
            </w:pPr>
            <w:r>
              <w:t>硬件设备维护数量</w:t>
            </w:r>
          </w:p>
        </w:tc>
        <w:tc>
          <w:tcPr>
            <w:tcW w:w="2551" w:type="dxa"/>
            <w:vAlign w:val="center"/>
          </w:tcPr>
          <w:p>
            <w:pPr>
              <w:pStyle w:val="15"/>
            </w:pPr>
            <w:r>
              <w:t>222台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正常养护率</w:t>
            </w:r>
          </w:p>
        </w:tc>
        <w:tc>
          <w:tcPr>
            <w:tcW w:w="3430" w:type="dxa"/>
            <w:vAlign w:val="center"/>
          </w:tcPr>
          <w:p>
            <w:pPr>
              <w:pStyle w:val="15"/>
            </w:pPr>
            <w:r>
              <w:t>正常养护率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系统运行维护响应时间</w:t>
            </w:r>
          </w:p>
        </w:tc>
        <w:tc>
          <w:tcPr>
            <w:tcW w:w="3430" w:type="dxa"/>
            <w:vAlign w:val="center"/>
          </w:tcPr>
          <w:p>
            <w:pPr>
              <w:pStyle w:val="15"/>
            </w:pPr>
            <w:r>
              <w:t>若系统发生故障时，维修响应时间</w:t>
            </w:r>
          </w:p>
        </w:tc>
        <w:tc>
          <w:tcPr>
            <w:tcW w:w="2551" w:type="dxa"/>
            <w:vAlign w:val="center"/>
          </w:tcPr>
          <w:p>
            <w:pPr>
              <w:pStyle w:val="15"/>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项目总成本</w:t>
            </w:r>
          </w:p>
        </w:tc>
        <w:tc>
          <w:tcPr>
            <w:tcW w:w="3430" w:type="dxa"/>
            <w:vAlign w:val="center"/>
          </w:tcPr>
          <w:p>
            <w:pPr>
              <w:pStyle w:val="15"/>
            </w:pPr>
            <w:r>
              <w:t>项目总成本</w:t>
            </w:r>
          </w:p>
        </w:tc>
        <w:tc>
          <w:tcPr>
            <w:tcW w:w="2551" w:type="dxa"/>
            <w:vAlign w:val="center"/>
          </w:tcPr>
          <w:p>
            <w:pPr>
              <w:pStyle w:val="15"/>
            </w:pPr>
            <w:r>
              <w:t>不超过194.8万元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确保系统正常运行，提高城市管理效率</w:t>
            </w:r>
          </w:p>
        </w:tc>
        <w:tc>
          <w:tcPr>
            <w:tcW w:w="3430" w:type="dxa"/>
            <w:vAlign w:val="center"/>
          </w:tcPr>
          <w:p>
            <w:pPr>
              <w:pStyle w:val="15"/>
            </w:pPr>
            <w:r>
              <w:t>使城市管理更加数字化、科学化</w:t>
            </w:r>
          </w:p>
        </w:tc>
        <w:tc>
          <w:tcPr>
            <w:tcW w:w="2551" w:type="dxa"/>
            <w:vAlign w:val="center"/>
          </w:tcPr>
          <w:p>
            <w:pPr>
              <w:pStyle w:val="15"/>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系统使用人员满意度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51"/>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.考核中心2024年委财务审计监督一张网运维项目绩效目标表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考核中心2024年委财务审计监督一张网运维项目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2.00</w:t>
            </w:r>
          </w:p>
        </w:tc>
        <w:tc>
          <w:tcPr>
            <w:tcW w:w="1587" w:type="dxa"/>
            <w:vAlign w:val="center"/>
          </w:tcPr>
          <w:p>
            <w:pPr>
              <w:pStyle w:val="16"/>
            </w:pPr>
            <w:r>
              <w:t>其中：财政    资金</w:t>
            </w:r>
          </w:p>
        </w:tc>
        <w:tc>
          <w:tcPr>
            <w:tcW w:w="1843" w:type="dxa"/>
            <w:vAlign w:val="center"/>
          </w:tcPr>
          <w:p>
            <w:pPr>
              <w:pStyle w:val="15"/>
            </w:pPr>
            <w:r>
              <w:t>2.00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用于支付委财务审计监督一张网的硬件运维费，保证财务网络稳定运行。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对委属各企事业单位的预算执行、固定资产管理、现金收支、公务卡使用、银行账户管理、对外投资、薪资福利发放、“三公”经费支出等9个方面进行监控，申请系统硬件运维费，实现委财务审计监督一张网稳定运行。</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硬件采购（维护）数量</w:t>
            </w:r>
          </w:p>
        </w:tc>
        <w:tc>
          <w:tcPr>
            <w:tcW w:w="3430" w:type="dxa"/>
            <w:vAlign w:val="center"/>
          </w:tcPr>
          <w:p>
            <w:pPr>
              <w:pStyle w:val="15"/>
            </w:pPr>
            <w:r>
              <w:t>硬件设备维护数量</w:t>
            </w:r>
          </w:p>
        </w:tc>
        <w:tc>
          <w:tcPr>
            <w:tcW w:w="2551" w:type="dxa"/>
            <w:vAlign w:val="center"/>
          </w:tcPr>
          <w:p>
            <w:pPr>
              <w:pStyle w:val="15"/>
            </w:pPr>
            <w:r>
              <w:t>36台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正常养护率</w:t>
            </w:r>
          </w:p>
        </w:tc>
        <w:tc>
          <w:tcPr>
            <w:tcW w:w="3430" w:type="dxa"/>
            <w:vAlign w:val="center"/>
          </w:tcPr>
          <w:p>
            <w:pPr>
              <w:pStyle w:val="15"/>
            </w:pPr>
            <w:r>
              <w:t>正常养护率</w:t>
            </w: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系统运行维护响应时间</w:t>
            </w:r>
          </w:p>
        </w:tc>
        <w:tc>
          <w:tcPr>
            <w:tcW w:w="3430" w:type="dxa"/>
            <w:vAlign w:val="center"/>
          </w:tcPr>
          <w:p>
            <w:pPr>
              <w:pStyle w:val="15"/>
            </w:pPr>
            <w:r>
              <w:t>系统运行维护响应时间</w:t>
            </w:r>
          </w:p>
        </w:tc>
        <w:tc>
          <w:tcPr>
            <w:tcW w:w="2551" w:type="dxa"/>
            <w:vAlign w:val="center"/>
          </w:tcPr>
          <w:p>
            <w:pPr>
              <w:pStyle w:val="15"/>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项目总成本</w:t>
            </w:r>
          </w:p>
        </w:tc>
        <w:tc>
          <w:tcPr>
            <w:tcW w:w="3430" w:type="dxa"/>
            <w:vAlign w:val="center"/>
          </w:tcPr>
          <w:p>
            <w:pPr>
              <w:pStyle w:val="15"/>
            </w:pPr>
            <w:r>
              <w:t>硬件设备运维成本</w:t>
            </w:r>
          </w:p>
          <w:p>
            <w:pPr>
              <w:pStyle w:val="15"/>
            </w:pPr>
          </w:p>
        </w:tc>
        <w:tc>
          <w:tcPr>
            <w:tcW w:w="2551" w:type="dxa"/>
            <w:vAlign w:val="center"/>
          </w:tcPr>
          <w:p>
            <w:pPr>
              <w:pStyle w:val="15"/>
            </w:pPr>
            <w:r>
              <w:t>不超过2万元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通过保障基础设施及业务系统的稳定性，确保业务平稳运行</w:t>
            </w:r>
          </w:p>
        </w:tc>
        <w:tc>
          <w:tcPr>
            <w:tcW w:w="3430" w:type="dxa"/>
            <w:vAlign w:val="center"/>
          </w:tcPr>
          <w:p>
            <w:pPr>
              <w:pStyle w:val="15"/>
            </w:pPr>
            <w:r>
              <w:t>通过保障基础设施及业务系统的稳定性，确保业务平稳运行</w:t>
            </w:r>
          </w:p>
        </w:tc>
        <w:tc>
          <w:tcPr>
            <w:tcW w:w="2551" w:type="dxa"/>
            <w:vAlign w:val="center"/>
          </w:tcPr>
          <w:p>
            <w:pPr>
              <w:pStyle w:val="15"/>
            </w:pPr>
            <w:r>
              <w:t>使财务审计监督一张网平稳运行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系统使用人员满意度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52"/>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.考核中心2024年委视频会议及城市管理指挥调度系统运维项目绩效目标表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项目名称</w:t>
            </w:r>
          </w:p>
        </w:tc>
        <w:tc>
          <w:tcPr>
            <w:tcW w:w="8589" w:type="dxa"/>
            <w:gridSpan w:val="6"/>
            <w:vAlign w:val="center"/>
          </w:tcPr>
          <w:p>
            <w:pPr>
              <w:pStyle w:val="15"/>
            </w:pPr>
            <w:r>
              <w:t>考核中心2024年委视频会议及城市管理指挥调度系统运维项目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26.00</w:t>
            </w:r>
          </w:p>
        </w:tc>
        <w:tc>
          <w:tcPr>
            <w:tcW w:w="1587" w:type="dxa"/>
            <w:vAlign w:val="center"/>
          </w:tcPr>
          <w:p>
            <w:pPr>
              <w:pStyle w:val="16"/>
            </w:pPr>
            <w:r>
              <w:t>其中：财政    资金</w:t>
            </w:r>
          </w:p>
        </w:tc>
        <w:tc>
          <w:tcPr>
            <w:tcW w:w="1843" w:type="dxa"/>
            <w:vAlign w:val="center"/>
          </w:tcPr>
          <w:p>
            <w:pPr>
              <w:pStyle w:val="15"/>
            </w:pPr>
            <w:r>
              <w:t>26.00</w:t>
            </w:r>
          </w:p>
        </w:tc>
        <w:tc>
          <w:tcPr>
            <w:tcW w:w="1276" w:type="dxa"/>
            <w:vAlign w:val="center"/>
          </w:tcPr>
          <w:p>
            <w:pPr>
              <w:pStyle w:val="16"/>
            </w:pPr>
            <w:r>
              <w:t>其他资金</w:t>
            </w:r>
          </w:p>
        </w:tc>
        <w:tc>
          <w:tcPr>
            <w:tcW w:w="1276" w:type="dxa"/>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5"/>
            </w:pPr>
            <w:r>
              <w:t>用于支付委视频会议及城市管理指挥调度系统的硬件运维费以及网络通信费，保证系统稳定运行，使委属单位及各区城管委之间互联互通。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589" w:type="dxa"/>
            <w:gridSpan w:val="6"/>
            <w:vAlign w:val="center"/>
          </w:tcPr>
          <w:p>
            <w:pPr>
              <w:pStyle w:val="15"/>
            </w:pPr>
            <w:r>
              <w:t>1.视频会议及城市管理指挥调度系统是以委主会场为中心的视频会议平台，连接各区城管委及委属单位共33个点位，实现集语音、视频、数据传输、指挥监督的综合应用系统。对委视频会议及城市管理指挥调度系统的硬件设备及网络进行运维，确保系统稳定运行，使委属单位及各区城管委之间互联互通。</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3430" w:type="dxa"/>
            <w:vAlign w:val="center"/>
          </w:tcPr>
          <w:p>
            <w:pPr>
              <w:pStyle w:val="16"/>
            </w:pPr>
            <w:r>
              <w:t>绩效指标描述</w:t>
            </w:r>
          </w:p>
        </w:tc>
        <w:tc>
          <w:tcPr>
            <w:tcW w:w="2551" w:type="dxa"/>
            <w:vAlign w:val="center"/>
          </w:tcPr>
          <w:p>
            <w:pPr>
              <w:pStyle w:val="1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涉及区和单位</w:t>
            </w:r>
          </w:p>
        </w:tc>
        <w:tc>
          <w:tcPr>
            <w:tcW w:w="3430" w:type="dxa"/>
            <w:vAlign w:val="center"/>
          </w:tcPr>
          <w:p>
            <w:pPr>
              <w:pStyle w:val="15"/>
            </w:pPr>
            <w:r>
              <w:t>各会场维护数量</w:t>
            </w:r>
          </w:p>
        </w:tc>
        <w:tc>
          <w:tcPr>
            <w:tcW w:w="2551" w:type="dxa"/>
            <w:vAlign w:val="center"/>
          </w:tcPr>
          <w:p>
            <w:pPr>
              <w:pStyle w:val="15"/>
            </w:pPr>
            <w:r>
              <w:t>33个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正常养护率</w:t>
            </w:r>
          </w:p>
        </w:tc>
        <w:tc>
          <w:tcPr>
            <w:tcW w:w="3430" w:type="dxa"/>
            <w:vAlign w:val="center"/>
          </w:tcPr>
          <w:p>
            <w:pPr>
              <w:pStyle w:val="15"/>
            </w:pPr>
            <w:r>
              <w:t>正常养护率</w:t>
            </w:r>
          </w:p>
          <w:p>
            <w:pPr>
              <w:pStyle w:val="15"/>
            </w:pPr>
          </w:p>
        </w:tc>
        <w:tc>
          <w:tcPr>
            <w:tcW w:w="2551" w:type="dxa"/>
            <w:vAlign w:val="center"/>
          </w:tcPr>
          <w:p>
            <w:pPr>
              <w:pStyle w:val="15"/>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系统运行维护响应时间</w:t>
            </w:r>
          </w:p>
        </w:tc>
        <w:tc>
          <w:tcPr>
            <w:tcW w:w="3430" w:type="dxa"/>
            <w:vAlign w:val="center"/>
          </w:tcPr>
          <w:p>
            <w:pPr>
              <w:pStyle w:val="15"/>
            </w:pPr>
            <w:r>
              <w:t>系统运行维护响应时间</w:t>
            </w:r>
          </w:p>
        </w:tc>
        <w:tc>
          <w:tcPr>
            <w:tcW w:w="2551" w:type="dxa"/>
            <w:vAlign w:val="center"/>
          </w:tcPr>
          <w:p>
            <w:pPr>
              <w:pStyle w:val="15"/>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项目总成本</w:t>
            </w:r>
          </w:p>
        </w:tc>
        <w:tc>
          <w:tcPr>
            <w:tcW w:w="3430" w:type="dxa"/>
            <w:vAlign w:val="center"/>
          </w:tcPr>
          <w:p>
            <w:pPr>
              <w:pStyle w:val="15"/>
            </w:pPr>
            <w:r>
              <w:t>项目总成本</w:t>
            </w:r>
          </w:p>
        </w:tc>
        <w:tc>
          <w:tcPr>
            <w:tcW w:w="2551" w:type="dxa"/>
            <w:vAlign w:val="center"/>
          </w:tcPr>
          <w:p>
            <w:pPr>
              <w:pStyle w:val="15"/>
            </w:pPr>
            <w:r>
              <w:t>不超过26万元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可持续影响指标</w:t>
            </w:r>
          </w:p>
        </w:tc>
        <w:tc>
          <w:tcPr>
            <w:tcW w:w="1332" w:type="dxa"/>
            <w:vAlign w:val="center"/>
          </w:tcPr>
          <w:p>
            <w:pPr>
              <w:pStyle w:val="15"/>
            </w:pPr>
            <w:r>
              <w:t>通过保障基础设施及业务系统的稳定性，确保业务平稳运行</w:t>
            </w:r>
          </w:p>
        </w:tc>
        <w:tc>
          <w:tcPr>
            <w:tcW w:w="3430" w:type="dxa"/>
            <w:vAlign w:val="center"/>
          </w:tcPr>
          <w:p>
            <w:pPr>
              <w:pStyle w:val="15"/>
            </w:pPr>
            <w:r>
              <w:t>通过保障基础设施及业务系统的稳定性，确保业务平稳运行</w:t>
            </w:r>
          </w:p>
        </w:tc>
        <w:tc>
          <w:tcPr>
            <w:tcW w:w="2551" w:type="dxa"/>
            <w:vAlign w:val="center"/>
          </w:tcPr>
          <w:p>
            <w:pPr>
              <w:pStyle w:val="15"/>
            </w:pPr>
            <w:r>
              <w:t>确保系统平稳安全运行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3430" w:type="dxa"/>
            <w:vAlign w:val="center"/>
          </w:tcPr>
          <w:p>
            <w:pPr>
              <w:pStyle w:val="15"/>
            </w:pPr>
            <w:r>
              <w:t>系统使用人员满意度</w:t>
            </w:r>
          </w:p>
        </w:tc>
        <w:tc>
          <w:tcPr>
            <w:tcW w:w="2551" w:type="dxa"/>
            <w:vAlign w:val="center"/>
          </w:tcPr>
          <w:p>
            <w:pPr>
              <w:pStyle w:val="15"/>
            </w:pPr>
            <w:r>
              <w:t>≥90%</w:t>
            </w:r>
          </w:p>
        </w:tc>
      </w:tr>
    </w:tbl>
    <w:p>
      <w:pPr>
        <w:sectPr>
          <w:pgSz w:w="11900" w:h="16840"/>
          <w:pgMar w:top="1984" w:right="1304" w:bottom="1134" w:left="1304" w:header="720" w:footer="720" w:gutter="0"/>
          <w:cols w:space="720" w:num="1"/>
        </w:sectPr>
      </w:pPr>
      <w:bookmarkStart w:id="8" w:name="_GoBack"/>
      <w:bookmarkEnd w:id="8"/>
    </w:p>
    <w:p>
      <w:pPr>
        <w:rPr>
          <w:rFonts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0NzY1N2E1MWE4MTNjMmJhOTAyYWNhMTE4ODFkMDMifQ=="/>
  </w:docVars>
  <w:rsids>
    <w:rsidRoot w:val="00F75335"/>
    <w:rsid w:val="000F28F7"/>
    <w:rsid w:val="00187965"/>
    <w:rsid w:val="006B6040"/>
    <w:rsid w:val="006F2658"/>
    <w:rsid w:val="00984C9E"/>
    <w:rsid w:val="00BD3451"/>
    <w:rsid w:val="00D35D93"/>
    <w:rsid w:val="00F75335"/>
    <w:rsid w:val="25CD4406"/>
    <w:rsid w:val="2EE7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kern w:val="0"/>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uiPriority w:val="99"/>
    <w:pPr>
      <w:tabs>
        <w:tab w:val="center" w:pos="4153"/>
        <w:tab w:val="right" w:pos="8306"/>
      </w:tabs>
      <w:snapToGrid w:val="0"/>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table" w:styleId="6">
    <w:name w:val="Table Grid"/>
    <w:basedOn w:val="5"/>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3"/>
    <w:autoRedefine/>
    <w:semiHidden/>
    <w:uiPriority w:val="99"/>
    <w:rPr>
      <w:sz w:val="18"/>
      <w:szCs w:val="18"/>
    </w:rPr>
  </w:style>
  <w:style w:type="character" w:customStyle="1" w:styleId="9">
    <w:name w:val="页脚 Char"/>
    <w:basedOn w:val="7"/>
    <w:link w:val="2"/>
    <w:autoRedefine/>
    <w:semiHidden/>
    <w:uiPriority w:val="99"/>
    <w:rPr>
      <w:sz w:val="18"/>
      <w:szCs w:val="18"/>
    </w:rPr>
  </w:style>
  <w:style w:type="paragraph" w:customStyle="1" w:styleId="10">
    <w:name w:val="插入文本样式-插入总体目标文件"/>
    <w:basedOn w:val="1"/>
    <w:autoRedefine/>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TOC 2"/>
    <w:basedOn w:val="1"/>
    <w:autoRedefine/>
    <w:qFormat/>
    <w:uiPriority w:val="0"/>
    <w:pPr>
      <w:ind w:left="240"/>
    </w:pPr>
  </w:style>
  <w:style w:type="paragraph" w:customStyle="1" w:styleId="19">
    <w:name w:val="TOC 4"/>
    <w:basedOn w:val="1"/>
    <w:autoRedefine/>
    <w:qFormat/>
    <w:uiPriority w:val="0"/>
    <w:pPr>
      <w:ind w:left="720"/>
    </w:pPr>
  </w:style>
  <w:style w:type="paragraph" w:customStyle="1" w:styleId="20">
    <w:name w:val="TOC 1"/>
    <w:basedOn w:val="1"/>
    <w:autoRedefine/>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545</Words>
  <Characters>3107</Characters>
  <Lines>25</Lines>
  <Paragraphs>7</Paragraphs>
  <TotalTime>1</TotalTime>
  <ScaleCrop>false</ScaleCrop>
  <LinksUpToDate>false</LinksUpToDate>
  <CharactersWithSpaces>3645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2024-02-20T07:32:00Z</dcterms:created>
  <dc:creator>dell</dc:creator>
  <cp:lastModifiedBy>未定义</cp:lastModifiedBy>
  <dcterms:modified xsi:type="dcterms:W3CDTF">2024-03-11T02:27:38Z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836A05E6CEE24B08B0CAFEB75FCE1327_12</vt:lpwstr>
  </property>
</Properties>
</file>