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bookmarkStart w:id="0" w:name="_Toc_4_4_0000000019"/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录</w:t>
      </w: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.水上公园2024年设</w:t>
      </w:r>
      <w:bookmarkStart w:id="6" w:name="_GoBack"/>
      <w:bookmarkEnd w:id="6"/>
      <w:r>
        <w:rPr>
          <w:rFonts w:hint="default" w:ascii="Times New Roman" w:hAnsi="Times New Roman" w:eastAsia="方正仿宋_GBK" w:cs="Times New Roman"/>
          <w:sz w:val="28"/>
          <w:lang w:eastAsia="zh-CN"/>
        </w:rPr>
        <w:t>施养护维护项目绩效目标表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.水上公园2024年12号院及周边地块优化提升项目（自有资金）绩效目标表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.水上公园2024年东湖精品游船码头采购项目（2024年度自有资金）绩效目标表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.水上公园2024年法制文化阵地项目绩效目标表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.水上公园2024年经营服务及配套项目（自有资金）绩效目标表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bookmarkEnd w:id="0"/>
    <w:p>
      <w:pPr>
        <w:ind w:firstLine="560"/>
        <w:outlineLvl w:val="3"/>
      </w:pPr>
      <w:bookmarkStart w:id="1" w:name="_Toc_4_4_000000006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.水上公园2024年设施养护维护项目绩效目标表</w:t>
      </w:r>
      <w:bookmarkEnd w:id="1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水上公园2024年设施养护维护项目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800.00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800.00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园内绿化园容、垃圾清运、设施维护养护、安保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1.通过园区绿化养管、园容保洁、设施养护维护、公园安保服务等工作的实施，提升公园整体景观效果，确保园区安全、环境优美，服务优良</w:t>
            </w:r>
          </w:p>
        </w:tc>
      </w:tr>
    </w:tbl>
    <w:p>
      <w:pPr>
        <w:spacing w:line="2" w:lineRule="exact"/>
        <w:jc w:val="center"/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绿地养护面积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园区内绿地的养护面积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35.4万平方米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园容保洁面积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园区内保洁的面积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48.7万平方米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道路养护面积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园区内道路养护面积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11.72万平方米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园区内公共厕所的数量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园区内公共厕所的数量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9座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环境卫生状况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衡量园区的环境卫生状况，包括地面清洁、垃圾清理、厕所卫生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园区设施完好率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反映设施满足质量合格标准的程度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较高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清洁周期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衡量园区保洁的清洁周期，包括垃圾清理、厕所清洁等工作的效率和时效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设施维修响应时间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衡量公园设施维修的响应时间，包括设施损坏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≤3天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绿化养护、园容保洁、安保服务等养管成本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反映绿化养护、园容保洁、安保服务等养管成本控制的情况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≤800万元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健康促进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衡量园区对人们身心健康的促进效果，包括提供休闲空间、减轻压力等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较高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衡量游客对园区整体体验的满意程度，可以通过游客调查、反馈等方式进行评估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6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.水上公园2024年12号院及周边地块优化提升项目（自有资金）绩效目标表</w:t>
      </w:r>
      <w:bookmarkEnd w:id="2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水上公园2024年12号院及周边地块优化提升项目（自有资金）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260.80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260.80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公园12号院及周边地块优化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1.谋求公园长远发展，优化提升场地资源布局</w:t>
            </w:r>
          </w:p>
        </w:tc>
      </w:tr>
    </w:tbl>
    <w:p>
      <w:pPr>
        <w:spacing w:line="2" w:lineRule="exact"/>
        <w:jc w:val="center"/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绿化种植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反映绿化种植面积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2600平方米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道路铺装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反映道路铺装面积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3100平方米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地面停车场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反映地面停车场面积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4500平方米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集成装配式办公建筑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反映集成装配式办公建筑面积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2800平方米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反映设备合格情况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反映项目完成及时程度和效率情况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不超过预算金额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≤260.8万元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促进公共服务效率的提升或改善程度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反映公共服务效率的提升或改善程度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较高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反映服务对象或相关受益人对相关产出及其影响的认可程度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6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.水上公园2024年东湖精品游船码头采购项目（2024年度自有资金）绩效目标表</w:t>
      </w:r>
      <w:bookmarkEnd w:id="3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水上公园2024年东湖精品游船码头采购项目（2024年度自有资金）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249.00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249.00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园内精品码头提升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1.进一步提升游园品质，丰富游船种类数量，提高游客乘船感受，更好地满足游客需求，全力打造东湖精品游船码头</w:t>
            </w:r>
          </w:p>
        </w:tc>
      </w:tr>
    </w:tbl>
    <w:p>
      <w:pPr>
        <w:spacing w:line="2" w:lineRule="exact"/>
        <w:jc w:val="center"/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船只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船只数量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150条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码头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码头数量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6座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顶棚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顶棚数量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反映设备合格情况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采购完成时间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反映项目采购完成及时程度和效率情况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不超过预算金额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≤249万元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促进公共服务效率的提升或改善程度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反映公共服务效率的提升或改善程度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较高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反映服务对象或相关受益人对相关产出及其影响的认可程度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6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.水上公园2024年法制文化阵地项目绩效目标表</w:t>
      </w:r>
      <w:bookmarkEnd w:id="4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水上公园2024年法制文化阵地项目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14.32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14.32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建设公园法制文化阵地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1.利用公园的宣传优势建设法治文化阵地，彰显天津“法治建设先行区”的定位，打造“法治天津”地标。</w:t>
            </w:r>
          </w:p>
        </w:tc>
      </w:tr>
    </w:tbl>
    <w:p>
      <w:pPr>
        <w:spacing w:line="2" w:lineRule="exact"/>
        <w:jc w:val="center"/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法制阵地建设项目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法制阵地建设项目数量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法制宣传文案合格率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反映宣传文案合规情况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宣传总成本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反映宣传总支出情况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≤14.32万元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宣传时效性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反映宣传及时性程度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宣传普法活动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宣传普法活动次数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反映服务对象或项目受益人对相关产出及其影响的认可程度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6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.水上公园2024年经营服务及配套项目（自有资金）绩效目标表</w:t>
      </w:r>
      <w:bookmarkEnd w:id="5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水上公园2024年经营服务及配套项目（自有资金）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720.00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720.00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包含维修保养游船，游艺设备15项以及辅助用材。举办公园时令花节梅花展、菊花展。大湖补水经营服务以及景观需求补水。公园经营服务电力设施以及安全运营配套材料等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1.谋求公园长远发展，做好公园经营服务以及配套设施维修，服务游客。</w:t>
            </w:r>
          </w:p>
        </w:tc>
      </w:tr>
    </w:tbl>
    <w:p>
      <w:pPr>
        <w:spacing w:line="2" w:lineRule="exact"/>
        <w:jc w:val="center"/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维修游船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维修游船数量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240条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维修保养游艺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维修保养游艺项目数量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举办花展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举办花展数量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大湖补水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大湖补水数量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20万方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反映设备合格情况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反映项目完成及时程度和效率情况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不超过预算金额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≤720万元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促进公共服务效率的提升或改善程度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衡量园区对人们身心健康的促进效果，包括提供休闲空间、减轻压力等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较高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衡量游客对园区整体体验的满意程度，可以通过游客调查、反馈等方式进行评估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798C6DEB"/>
    <w:rsid w:val="0F7B021B"/>
    <w:rsid w:val="520143BB"/>
    <w:rsid w:val="678C03E6"/>
    <w:rsid w:val="75D44B1A"/>
    <w:rsid w:val="798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customStyle="1" w:styleId="5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2024-03-07T06:49:00Z</dcterms:created>
  <dc:creator>q'w</dc:creator>
  <cp:lastModifiedBy>未定义</cp:lastModifiedBy>
  <dcterms:modified xsi:type="dcterms:W3CDTF">2024-03-11T06:25:05Z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1C0A42AF0490495887B984A44D7205B1_11</vt:lpwstr>
  </property>
</Properties>
</file>