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0"/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  <w:bookmarkStart w:id="0" w:name="_Toc_4_4_0000000019"/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jc w:val="center"/>
        <w:rPr>
          <w:rFonts w:eastAsia="方正小标宋简体"/>
          <w:sz w:val="22"/>
          <w:szCs w:val="22"/>
        </w:rPr>
      </w:pPr>
      <w:r>
        <w:rPr>
          <w:rFonts w:eastAsia="方正小标宋简体"/>
          <w:color w:val="000000"/>
          <w:sz w:val="56"/>
          <w:szCs w:val="22"/>
          <w:lang w:eastAsia="zh-CN"/>
        </w:rPr>
        <w:t>项目支出绩效目标表</w:t>
      </w:r>
    </w:p>
    <w:p>
      <w:pPr>
        <w:jc w:val="center"/>
        <w:rPr>
          <w:rFonts w:eastAsia="方正小标宋简体"/>
          <w:sz w:val="52"/>
          <w:szCs w:val="52"/>
        </w:rPr>
      </w:pPr>
      <w:r>
        <w:rPr>
          <w:rFonts w:eastAsia="方正小标宋简体"/>
          <w:color w:val="000000"/>
          <w:sz w:val="52"/>
          <w:szCs w:val="52"/>
        </w:rPr>
        <w:t>（</w:t>
      </w:r>
      <w:r>
        <w:rPr>
          <w:rFonts w:eastAsia="方正小标宋简体"/>
          <w:color w:val="000000"/>
          <w:sz w:val="52"/>
          <w:szCs w:val="52"/>
          <w:lang w:eastAsia="zh-CN"/>
        </w:rPr>
        <w:t>202</w:t>
      </w:r>
      <w:r>
        <w:rPr>
          <w:rFonts w:hint="eastAsia" w:eastAsia="方正小标宋简体"/>
          <w:color w:val="000000"/>
          <w:sz w:val="52"/>
          <w:szCs w:val="52"/>
          <w:lang w:val="en-US" w:eastAsia="zh-CN"/>
        </w:rPr>
        <w:t>4</w:t>
      </w:r>
      <w:r>
        <w:rPr>
          <w:rFonts w:eastAsia="方正小标宋简体"/>
          <w:color w:val="000000"/>
          <w:sz w:val="52"/>
          <w:szCs w:val="52"/>
          <w:lang w:eastAsia="zh-CN"/>
        </w:rPr>
        <w:t>年</w:t>
      </w:r>
      <w:r>
        <w:rPr>
          <w:rFonts w:eastAsia="方正小标宋简体"/>
          <w:color w:val="000000"/>
          <w:sz w:val="52"/>
          <w:szCs w:val="52"/>
        </w:rPr>
        <w:t>）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sz w:val="52"/>
        </w:rPr>
        <w:t xml:space="preserve"> </w:t>
      </w:r>
    </w:p>
    <w:p>
      <w:pPr>
        <w:spacing w:before="0" w:after="0" w:line="240" w:lineRule="auto"/>
        <w:ind w:firstLine="0"/>
        <w:jc w:val="center"/>
        <w:outlineLvl w:val="9"/>
        <w:sectPr>
          <w:pgSz w:w="11900" w:h="16840"/>
          <w:pgMar w:top="1984" w:right="1304" w:bottom="1134" w:left="1304" w:header="720" w:footer="720" w:gutter="0"/>
          <w:cols w:space="720" w:num="1"/>
          <w:titlePg/>
        </w:sectPr>
      </w:pPr>
    </w:p>
    <w:p>
      <w:pPr>
        <w:spacing w:before="0" w:after="0" w:line="240" w:lineRule="auto"/>
        <w:ind w:firstLine="0"/>
        <w:jc w:val="center"/>
        <w:outlineLvl w:val="9"/>
      </w:pPr>
      <w:r>
        <w:rPr>
          <w:rFonts w:ascii="方正小标宋_GBK" w:hAnsi="方正小标宋_GBK" w:eastAsia="方正小标宋_GBK" w:cs="方正小标宋_GBK"/>
          <w:sz w:val="36"/>
        </w:rPr>
        <w:t xml:space="preserve"> </w:t>
      </w:r>
    </w:p>
    <w:p>
      <w:pPr>
        <w:ind w:firstLine="560"/>
        <w:jc w:val="center"/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  <w:r>
        <w:rPr>
          <w:rFonts w:ascii="方正小标宋_GBK" w:hAnsi="方正小标宋_GBK" w:eastAsia="方正小标宋_GBK" w:cs="方正小标宋_GBK"/>
          <w:sz w:val="36"/>
        </w:rPr>
        <w:t>目  录</w:t>
      </w:r>
    </w:p>
    <w:p>
      <w:pPr>
        <w:outlineLvl w:val="3"/>
        <w:rPr>
          <w:rFonts w:hint="eastAsia" w:ascii="方正仿宋_GBK" w:hAnsi="方正仿宋_GBK" w:eastAsia="方正仿宋_GBK" w:cs="方正仿宋_GBK"/>
          <w:sz w:val="28"/>
          <w:lang w:val="en-US" w:eastAsia="zh-CN"/>
        </w:rPr>
      </w:pPr>
    </w:p>
    <w:p>
      <w:pPr>
        <w:spacing w:line="360" w:lineRule="auto"/>
        <w:outlineLvl w:val="3"/>
        <w:rPr>
          <w:rFonts w:hint="default" w:ascii="Times New Roman" w:hAnsi="Times New Roman" w:eastAsia="仿宋_GB2312" w:cs="Times New Roman"/>
          <w:sz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28"/>
          <w:lang w:eastAsia="zh-CN"/>
        </w:rPr>
        <w:t>.市热然中心2024年燃气供热行业安全监督检查绩效目标表</w:t>
      </w:r>
      <w:r>
        <w:rPr>
          <w:rFonts w:hint="default" w:ascii="Times New Roman" w:hAnsi="Times New Roman" w:eastAsia="仿宋_GB2312" w:cs="Times New Roman"/>
          <w:sz w:val="28"/>
          <w:lang w:eastAsia="zh-CN"/>
        </w:rPr>
        <w:tab/>
      </w:r>
    </w:p>
    <w:p>
      <w:pPr>
        <w:spacing w:line="360" w:lineRule="auto"/>
        <w:outlineLvl w:val="3"/>
        <w:rPr>
          <w:rFonts w:hint="default" w:ascii="Times New Roman" w:hAnsi="Times New Roman" w:eastAsia="仿宋_GB2312" w:cs="Times New Roman"/>
          <w:sz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28"/>
          <w:lang w:eastAsia="zh-CN"/>
        </w:rPr>
        <w:t>.市热燃中心2024年天津市供热应急与能耗监测管理平台2024-2025年采暖季运行维护项目绩效目标表</w:t>
      </w:r>
      <w:r>
        <w:rPr>
          <w:rFonts w:hint="default" w:ascii="Times New Roman" w:hAnsi="Times New Roman" w:eastAsia="仿宋_GB2312" w:cs="Times New Roman"/>
          <w:sz w:val="28"/>
          <w:lang w:eastAsia="zh-CN"/>
        </w:rPr>
        <w:tab/>
      </w:r>
    </w:p>
    <w:p>
      <w:pPr>
        <w:spacing w:line="360" w:lineRule="auto"/>
        <w:outlineLvl w:val="3"/>
        <w:rPr>
          <w:rFonts w:hint="default" w:ascii="Times New Roman" w:hAnsi="Times New Roman" w:eastAsia="仿宋_GB2312" w:cs="Times New Roman"/>
          <w:sz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lang w:eastAsia="zh-CN"/>
        </w:rPr>
        <w:t>.市热燃中心2024年天津市燃气在线监测平台系统运行维护项目绩效目标表</w:t>
      </w:r>
    </w:p>
    <w:p>
      <w:pPr>
        <w:spacing w:line="360" w:lineRule="auto"/>
        <w:outlineLvl w:val="3"/>
        <w:rPr>
          <w:rFonts w:hint="default" w:ascii="Times New Roman" w:hAnsi="Times New Roman" w:eastAsia="仿宋_GB2312" w:cs="Times New Roman"/>
          <w:sz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28"/>
          <w:lang w:eastAsia="zh-CN"/>
        </w:rPr>
        <w:t>.市热燃中心2024年用气报装管理平台运行维护绩效目标表</w:t>
      </w:r>
      <w:r>
        <w:rPr>
          <w:rFonts w:hint="default" w:ascii="Times New Roman" w:hAnsi="Times New Roman" w:eastAsia="仿宋_GB2312" w:cs="Times New Roman"/>
          <w:sz w:val="28"/>
          <w:lang w:eastAsia="zh-CN"/>
        </w:rPr>
        <w:tab/>
      </w:r>
    </w:p>
    <w:p>
      <w:pPr>
        <w:spacing w:line="360" w:lineRule="auto"/>
        <w:outlineLvl w:val="3"/>
        <w:rPr>
          <w:rFonts w:hint="default" w:ascii="Times New Roman" w:hAnsi="Times New Roman" w:eastAsia="仿宋_GB2312" w:cs="Times New Roman"/>
          <w:sz w:val="28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28"/>
          <w:lang w:eastAsia="zh-CN"/>
        </w:rPr>
        <w:t>.市热燃中心2024年天津市城镇燃气智慧监管平台绩效目标表</w:t>
      </w:r>
      <w:r>
        <w:rPr>
          <w:rFonts w:hint="default" w:ascii="Times New Roman" w:hAnsi="Times New Roman" w:eastAsia="仿宋_GB2312" w:cs="Times New Roman"/>
          <w:sz w:val="28"/>
          <w:lang w:eastAsia="zh-CN"/>
        </w:rPr>
        <w:tab/>
      </w:r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ind w:firstLine="560"/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</w:p>
    <w:p>
      <w:pPr>
        <w:outlineLvl w:val="3"/>
        <w:rPr>
          <w:rFonts w:ascii="方正仿宋_GBK" w:hAnsi="方正仿宋_GBK" w:eastAsia="方正仿宋_GBK" w:cs="方正仿宋_GBK"/>
          <w:sz w:val="28"/>
          <w:lang w:eastAsia="zh-CN"/>
        </w:rPr>
      </w:pPr>
      <w:bookmarkStart w:id="6" w:name="_GoBack"/>
      <w:bookmarkEnd w:id="6"/>
    </w:p>
    <w:bookmarkEnd w:id="0"/>
    <w:p>
      <w:pPr>
        <w:ind w:firstLine="560"/>
        <w:outlineLvl w:val="3"/>
      </w:pPr>
      <w:bookmarkStart w:id="1" w:name="_Toc_4_4_0000000087"/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1</w:t>
      </w:r>
      <w:r>
        <w:rPr>
          <w:rFonts w:ascii="方正仿宋_GBK" w:hAnsi="方正仿宋_GBK" w:eastAsia="方正仿宋_GBK" w:cs="方正仿宋_GBK"/>
          <w:sz w:val="28"/>
        </w:rPr>
        <w:t>.市热然中心2024年燃气供热行业安全监督检查绩效目标表</w:t>
      </w:r>
      <w:bookmarkEnd w:id="1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326301天津市供热燃气管理事务中心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市热然中心2024年燃气供热行业安全监督检查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100.00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100.00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进一步压实企业安全生产主体责任，提升燃气供热行业安全管理水平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1.进一步压实企业安全生产主体责任，提升燃气供热行业安全管理水平</w:t>
            </w:r>
          </w:p>
        </w:tc>
      </w:tr>
    </w:tbl>
    <w:p>
      <w:pPr>
        <w:spacing w:line="2" w:lineRule="exact"/>
        <w:jc w:val="center"/>
      </w:pP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督检查单位数量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接受监督检查的单位数量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≥600家（对一家企业检查一次为一家）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监督检查覆盖率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开展监督检查的对象数量占应监督对象总数的比率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项目完成及时性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项目完成的及时程度和效率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项目总成本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项目总成本情况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≤100万元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对监督检查及能力提升的提升程度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监督检查及水平及能力的提升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提升程度明显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服务对象或项目受益人对相关产出及其影响的认可程度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≥80%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2" w:name="_Toc_4_4_0000000088"/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2</w:t>
      </w:r>
      <w:r>
        <w:rPr>
          <w:rFonts w:ascii="方正仿宋_GBK" w:hAnsi="方正仿宋_GBK" w:eastAsia="方正仿宋_GBK" w:cs="方正仿宋_GBK"/>
          <w:sz w:val="28"/>
        </w:rPr>
        <w:t>.市热燃中心2024年天津市供热应急与能耗监测管理平台2024-2025年采暖季运行维护项目绩效目标表</w:t>
      </w:r>
      <w:bookmarkEnd w:id="2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326301天津市供热燃气管理事务中心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市热燃中心2024年天津市供热应急与能耗监测管理平台2024-2025年采暖季运行维护项目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73.60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73.60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保障供热部门及时掌握全市供热数据并进行分析，推动行业智能化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1.保障供热部门及时掌握全市供热数据并进行分析，推动行业智能化</w:t>
            </w:r>
          </w:p>
        </w:tc>
      </w:tr>
    </w:tbl>
    <w:p>
      <w:pPr>
        <w:spacing w:line="2" w:lineRule="exact"/>
        <w:jc w:val="center"/>
      </w:pP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项目覆盖单位或市县区数量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反映项目覆盖单位或市县区数量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16个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项目验收合格率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反映信息化系统验收合格情况，验收合格数量与项目总数量的比值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项目完成及时性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反映项目完成的及时程度和效率情况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≥90及时拨付资金至各单位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项目总成本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反映项目总成本情况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≤73.6万元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对推动“互联网+”发展影响程度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反映新信息化系统促进“互联网+”发展情况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明显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服务对象满意度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服务对象满意度不低于90%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3" w:name="_Toc_4_4_0000000089"/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3</w:t>
      </w:r>
      <w:r>
        <w:rPr>
          <w:rFonts w:ascii="方正仿宋_GBK" w:hAnsi="方正仿宋_GBK" w:eastAsia="方正仿宋_GBK" w:cs="方正仿宋_GBK"/>
          <w:sz w:val="28"/>
        </w:rPr>
        <w:t>.市热燃中心2024年天津市燃气在线监测平台系统运行维护项目绩效目标表</w:t>
      </w:r>
      <w:bookmarkEnd w:id="3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326301天津市供热燃气管理事务中心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市热燃中心2024年天津市燃气在线监测平台系统运行维护项目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84.10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84.10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为了更好的适应高质量发展要求的城市综合管理服务工作体系，增强城市管理统筹协调能力，提高城市精细化管理服务水平，推动实现城市治理体系和治理能力现代化，为智慧燃气提供技术手段.按照“一网统管”总体要求和住建部相关文件规定，结合管理工作实际需求，通过对天津市燃气行业在线监测平台的运行维护，对数据进行存储、处理、分析、发布，实现全市燃气行业供应能力，提升用户的应用体验，实现系统整体功能提升，加强系统运行监控，加强网络安全保障，确保平台稳定、高效运行，使得燃气管理部门及时掌握燃气相关数据、汇总分析，实现燃气管理信息化。同时，将供热、燃气不同科室公文等事项流转流程纳入至平台，实现“无纸化”办公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为了更好的适应高质量发展要求的城市综合管理服务工作体系，增强城市管理统筹协调能力，提高城市精细化管理服务水平，推动实现城市治理体系和治理能力现代化，为智慧燃气提供技术手段.按照“一网统管”总体要求和住建部相关文件规定，结合管理工作实际需求，通过对天津市燃气行业在线监测平台的运行维护，对数据进行存储、处理、分析、发布，实现全市燃气行业供应能力，提升用户的应用体验，实现系统整体功能提升，加强系统运行监控，加强网络安全保障，确保平台稳定、高效运行，使得燃气管理部门及时掌握燃气相关数据、汇总分析，实现燃气管理信息化。同时，将供热、燃气不同科室公文等事项流转流程纳入至平台，实现“无纸化”办公。</w:t>
            </w:r>
          </w:p>
        </w:tc>
      </w:tr>
    </w:tbl>
    <w:p>
      <w:pPr>
        <w:spacing w:line="2" w:lineRule="exact"/>
        <w:jc w:val="center"/>
      </w:pP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日常维护信息系统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反映日常维护信息系统数量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≥1个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线上运行的系统、模块数量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反应信息化系统上线运行的数量情况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≥1个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项目验收合格率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反应信息化系统验收合格情况，验收合格数量与项目总量的比值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项目完成及时性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反映项目完成的及时程度和效率情况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项目总成本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反映项目总成本情况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≤84.1万元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对提高公共服务能力和效率的改善或提升程度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通过项目的实施对提高公共服务能力和效率的改善或提升程度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改善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服务对象满意度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反应服务对象或项目受益人对相关产出及其影响的认可程度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≥80%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4" w:name="_Toc_4_4_0000000090"/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4</w:t>
      </w:r>
      <w:r>
        <w:rPr>
          <w:rFonts w:ascii="方正仿宋_GBK" w:hAnsi="方正仿宋_GBK" w:eastAsia="方正仿宋_GBK" w:cs="方正仿宋_GBK"/>
          <w:sz w:val="28"/>
        </w:rPr>
        <w:t>.市热燃中心2024年用气报装管理平台运行维护绩效目标表</w:t>
      </w:r>
      <w:bookmarkEnd w:id="4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326301天津市供热燃气管理事务中心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市热燃中心2024年用气报装管理平台运行维护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4.60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4.60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保障系统各终端账户功能模块正常使用，系统安全平稳运行，并在规定的服务期限，完成涉及的接口对接、开发等工作；完成等保测评项目。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1.保障系统各终端账户功能模块正常使用，系统安全平稳运行，并在规定的服务期限，完成涉及的接口对接、开发等工作；完成等保测评项目。</w:t>
            </w:r>
          </w:p>
        </w:tc>
      </w:tr>
    </w:tbl>
    <w:p>
      <w:pPr>
        <w:spacing w:line="2" w:lineRule="exact"/>
        <w:jc w:val="center"/>
      </w:pP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运维数量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提供运维服务次数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≥1反映维护次数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验收合格率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验收合格率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项目完成及时性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项目完成及时性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成本控制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成本控制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≤4.6万元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业务系统故障率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业务系统故障率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≤10%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服务对象满意度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用户满意度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≥90%</w:t>
            </w:r>
          </w:p>
        </w:tc>
      </w:tr>
    </w:tbl>
    <w:p>
      <w:pPr>
        <w:sectPr>
          <w:pgSz w:w="11900" w:h="16840"/>
          <w:pgMar w:top="1984" w:right="1304" w:bottom="1134" w:left="1304" w:header="720" w:footer="720" w:gutter="0"/>
          <w:cols w:space="720" w:num="1"/>
        </w:sectPr>
      </w:pPr>
    </w:p>
    <w:p>
      <w:pPr>
        <w:jc w:val="center"/>
      </w:pPr>
    </w:p>
    <w:p>
      <w:pPr>
        <w:ind w:firstLine="560"/>
        <w:outlineLvl w:val="3"/>
      </w:pPr>
      <w:bookmarkStart w:id="5" w:name="_Toc_4_4_0000000091"/>
      <w:r>
        <w:rPr>
          <w:rFonts w:hint="eastAsia" w:ascii="方正仿宋_GBK" w:hAnsi="方正仿宋_GBK" w:eastAsia="方正仿宋_GBK" w:cs="方正仿宋_GBK"/>
          <w:sz w:val="28"/>
          <w:lang w:val="en-US" w:eastAsia="zh-CN"/>
        </w:rPr>
        <w:t>5</w:t>
      </w:r>
      <w:r>
        <w:rPr>
          <w:rFonts w:ascii="方正仿宋_GBK" w:hAnsi="方正仿宋_GBK" w:eastAsia="方正仿宋_GBK" w:cs="方正仿宋_GBK"/>
          <w:sz w:val="28"/>
        </w:rPr>
        <w:t>.市热燃中心2024年天津市城镇燃气智慧监管平台绩效目标表</w:t>
      </w:r>
      <w:bookmarkEnd w:id="5"/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FFFFFF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1587"/>
        <w:gridCol w:w="1843"/>
        <w:gridCol w:w="1276"/>
        <w:gridCol w:w="1276"/>
      </w:tblGrid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89" w:type="dxa"/>
            <w:gridSpan w:val="6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4"/>
            </w:pPr>
            <w:r>
              <w:t>326301天津市供热燃气管理事务中心</w:t>
            </w:r>
          </w:p>
        </w:tc>
        <w:tc>
          <w:tcPr>
            <w:tcW w:w="1276" w:type="dxa"/>
            <w:tcBorders>
              <w:top w:val="single" w:color="FFFFFF" w:sz="6" w:space="0"/>
              <w:left w:val="single" w:color="FFFFFF" w:sz="6" w:space="0"/>
              <w:right w:val="single" w:color="FFFFFF" w:sz="6" w:space="0"/>
            </w:tcBorders>
            <w:vAlign w:val="center"/>
          </w:tcPr>
          <w:p>
            <w:pPr>
              <w:pStyle w:val="13"/>
            </w:pPr>
            <w:r>
              <w:t>单位：万元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项目名称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市热燃中心2024年天津市城镇燃气智慧监管平台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6"/>
            </w:pPr>
            <w:r>
              <w:t>预算规模及资金用途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预算数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20.00</w:t>
            </w:r>
          </w:p>
        </w:tc>
        <w:tc>
          <w:tcPr>
            <w:tcW w:w="1587" w:type="dxa"/>
            <w:vAlign w:val="center"/>
          </w:tcPr>
          <w:p>
            <w:pPr>
              <w:pStyle w:val="16"/>
            </w:pPr>
            <w:r>
              <w:t>其中：财政    资金</w:t>
            </w:r>
          </w:p>
        </w:tc>
        <w:tc>
          <w:tcPr>
            <w:tcW w:w="1843" w:type="dxa"/>
            <w:vAlign w:val="center"/>
          </w:tcPr>
          <w:p>
            <w:pPr>
              <w:pStyle w:val="15"/>
            </w:pPr>
            <w:r>
              <w:t>20.00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其他资金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</w:tcPr>
          <w:p/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通过建设燃气智慧监管平台，强化行业数字管理能力，动态感知潜在隐患问题，提高燃气设施运行保障能力。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FFFFFF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绩效目标</w:t>
            </w:r>
          </w:p>
        </w:tc>
        <w:tc>
          <w:tcPr>
            <w:tcW w:w="8589" w:type="dxa"/>
            <w:gridSpan w:val="6"/>
            <w:vAlign w:val="center"/>
          </w:tcPr>
          <w:p>
            <w:pPr>
              <w:pStyle w:val="15"/>
            </w:pPr>
            <w:r>
              <w:t>1.通过建设燃气智慧监管平台，强化行业数字管理能力，动态感知潜在隐患问题，提高燃气设施运行保障能力。</w:t>
            </w:r>
          </w:p>
        </w:tc>
      </w:tr>
    </w:tbl>
    <w:p>
      <w:pPr>
        <w:spacing w:line="2" w:lineRule="exact"/>
        <w:jc w:val="center"/>
      </w:pPr>
    </w:p>
    <w:tbl>
      <w:tblPr>
        <w:tblStyle w:val="5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276"/>
        <w:gridCol w:w="1332"/>
        <w:gridCol w:w="3430"/>
        <w:gridCol w:w="255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276" w:type="dxa"/>
            <w:vAlign w:val="center"/>
          </w:tcPr>
          <w:p>
            <w:pPr>
              <w:pStyle w:val="16"/>
            </w:pPr>
            <w:r>
              <w:t>一级指标</w:t>
            </w:r>
          </w:p>
        </w:tc>
        <w:tc>
          <w:tcPr>
            <w:tcW w:w="1276" w:type="dxa"/>
            <w:vAlign w:val="center"/>
          </w:tcPr>
          <w:p>
            <w:pPr>
              <w:pStyle w:val="16"/>
            </w:pPr>
            <w:r>
              <w:t>二级指标</w:t>
            </w:r>
          </w:p>
        </w:tc>
        <w:tc>
          <w:tcPr>
            <w:tcW w:w="1332" w:type="dxa"/>
            <w:vAlign w:val="center"/>
          </w:tcPr>
          <w:p>
            <w:pPr>
              <w:pStyle w:val="16"/>
            </w:pPr>
            <w:r>
              <w:t>三级指标</w:t>
            </w:r>
          </w:p>
        </w:tc>
        <w:tc>
          <w:tcPr>
            <w:tcW w:w="3430" w:type="dxa"/>
            <w:vAlign w:val="center"/>
          </w:tcPr>
          <w:p>
            <w:pPr>
              <w:pStyle w:val="16"/>
            </w:pPr>
            <w:r>
              <w:t>绩效指标描述</w:t>
            </w:r>
          </w:p>
        </w:tc>
        <w:tc>
          <w:tcPr>
            <w:tcW w:w="2551" w:type="dxa"/>
            <w:vAlign w:val="center"/>
          </w:tcPr>
          <w:p>
            <w:pPr>
              <w:pStyle w:val="16"/>
            </w:pPr>
            <w:r>
              <w:t>指标值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restart"/>
            <w:vAlign w:val="center"/>
          </w:tcPr>
          <w:p>
            <w:pPr>
              <w:pStyle w:val="17"/>
            </w:pPr>
            <w:r>
              <w:t>产出指标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数量指标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功能模块建设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开发建成的模块数量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≥6个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质量指标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平台稳定运行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平台能够稳定正常运行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经测试稳定运行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时效指标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建成运行时限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平台上线运行时限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2024年底前上线运行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成本指标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项目实际成本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控制项目成本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≤20万元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效益指标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社会效益指标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燃气安全管理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及时发现燃气行业潜在问题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及时进行示警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276" w:type="dxa"/>
            <w:vAlign w:val="center"/>
          </w:tcPr>
          <w:p>
            <w:pPr>
              <w:pStyle w:val="17"/>
            </w:pPr>
            <w:r>
              <w:t>满意度指标</w:t>
            </w:r>
          </w:p>
        </w:tc>
        <w:tc>
          <w:tcPr>
            <w:tcW w:w="1276" w:type="dxa"/>
            <w:vAlign w:val="center"/>
          </w:tcPr>
          <w:p>
            <w:pPr>
              <w:pStyle w:val="15"/>
            </w:pPr>
            <w:r>
              <w:t>服务对象满意度指标</w:t>
            </w:r>
          </w:p>
        </w:tc>
        <w:tc>
          <w:tcPr>
            <w:tcW w:w="1332" w:type="dxa"/>
            <w:vAlign w:val="center"/>
          </w:tcPr>
          <w:p>
            <w:pPr>
              <w:pStyle w:val="15"/>
            </w:pPr>
            <w:r>
              <w:t>服务对象满意度</w:t>
            </w:r>
          </w:p>
        </w:tc>
        <w:tc>
          <w:tcPr>
            <w:tcW w:w="3430" w:type="dxa"/>
            <w:vAlign w:val="center"/>
          </w:tcPr>
          <w:p>
            <w:pPr>
              <w:pStyle w:val="15"/>
            </w:pPr>
            <w:r>
              <w:t>用户使用满意度</w:t>
            </w:r>
          </w:p>
        </w:tc>
        <w:tc>
          <w:tcPr>
            <w:tcW w:w="2551" w:type="dxa"/>
            <w:vAlign w:val="center"/>
          </w:tcPr>
          <w:p>
            <w:pPr>
              <w:pStyle w:val="15"/>
            </w:pPr>
            <w:r>
              <w:t>≥80%</w:t>
            </w:r>
          </w:p>
        </w:tc>
      </w:tr>
    </w:tbl>
    <w:p/>
    <w:p>
      <w:pPr>
        <w:rPr>
          <w:rFonts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I0NzY1N2E1MWE4MTNjMmJhOTAyYWNhMTE4ODFkMDMifQ=="/>
  </w:docVars>
  <w:rsids>
    <w:rsidRoot w:val="00F75335"/>
    <w:rsid w:val="000F28F7"/>
    <w:rsid w:val="00187965"/>
    <w:rsid w:val="003E7AF6"/>
    <w:rsid w:val="006B2A5B"/>
    <w:rsid w:val="006F2658"/>
    <w:rsid w:val="008723C3"/>
    <w:rsid w:val="00984C9E"/>
    <w:rsid w:val="00F75335"/>
    <w:rsid w:val="30237C1A"/>
    <w:rsid w:val="496625D9"/>
    <w:rsid w:val="5730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="Times New Roman" w:hAnsi="Times New Roman" w:eastAsia="Times New Roman" w:cs="Times New Roman"/>
      <w:kern w:val="0"/>
      <w:sz w:val="24"/>
      <w:szCs w:val="24"/>
      <w:lang w:val="en-US" w:eastAsia="uk-UA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oc 1"/>
    <w:basedOn w:val="1"/>
    <w:qFormat/>
    <w:uiPriority w:val="0"/>
    <w:pPr>
      <w:spacing w:before="120" w:line="240" w:lineRule="auto"/>
      <w:ind w:firstLine="0"/>
    </w:pPr>
    <w:rPr>
      <w:rFonts w:ascii="Times New Roman" w:hAnsi="Times New Roman" w:eastAsia="方正仿宋_GBK" w:cs="Times New Roman"/>
      <w:color w:val="000000"/>
      <w:sz w:val="28"/>
      <w:lang w:val="en-US"/>
    </w:rPr>
  </w:style>
  <w:style w:type="table" w:styleId="6">
    <w:name w:val="Table Grid"/>
    <w:basedOn w:val="5"/>
    <w:uiPriority w:val="0"/>
    <w:rPr>
      <w:rFonts w:ascii="Times New Roman" w:hAnsi="Times New Roman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autoRedefine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autoRedefine/>
    <w:semiHidden/>
    <w:qFormat/>
    <w:uiPriority w:val="99"/>
    <w:rPr>
      <w:sz w:val="18"/>
      <w:szCs w:val="18"/>
    </w:rPr>
  </w:style>
  <w:style w:type="paragraph" w:customStyle="1" w:styleId="10">
    <w:name w:val="插入文本样式-插入总体目标文件"/>
    <w:basedOn w:val="1"/>
    <w:autoRedefine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1">
    <w:name w:val="插入文本样式-插入职责分类绩效目标文件"/>
    <w:basedOn w:val="1"/>
    <w:autoRedefine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2">
    <w:name w:val="插入文本样式-插入实现年度发展规划目标的保障措施文件"/>
    <w:basedOn w:val="1"/>
    <w:autoRedefine/>
    <w:qFormat/>
    <w:uiPriority w:val="0"/>
    <w:pPr>
      <w:spacing w:line="500" w:lineRule="exact"/>
      <w:ind w:firstLine="560"/>
    </w:pPr>
    <w:rPr>
      <w:rFonts w:eastAsia="方正仿宋_GBK"/>
      <w:sz w:val="28"/>
    </w:rPr>
  </w:style>
  <w:style w:type="paragraph" w:customStyle="1" w:styleId="13">
    <w:name w:val="单元格样式4"/>
    <w:basedOn w:val="1"/>
    <w:autoRedefine/>
    <w:qFormat/>
    <w:uiPriority w:val="0"/>
    <w:pPr>
      <w:jc w:val="right"/>
    </w:pPr>
    <w:rPr>
      <w:rFonts w:ascii="方正书宋_GBK" w:hAnsi="方正书宋_GBK" w:eastAsia="方正书宋_GBK" w:cs="方正书宋_GBK"/>
      <w:sz w:val="21"/>
    </w:rPr>
  </w:style>
  <w:style w:type="paragraph" w:customStyle="1" w:styleId="14">
    <w:name w:val="单元格样式5"/>
    <w:basedOn w:val="1"/>
    <w:autoRedefine/>
    <w:qFormat/>
    <w:uiPriority w:val="0"/>
    <w:rPr>
      <w:rFonts w:ascii="方正书宋_GBK" w:hAnsi="方正书宋_GBK" w:eastAsia="方正书宋_GBK" w:cs="方正书宋_GBK"/>
      <w:b/>
      <w:sz w:val="21"/>
    </w:rPr>
  </w:style>
  <w:style w:type="paragraph" w:customStyle="1" w:styleId="15">
    <w:name w:val="单元格样式2"/>
    <w:basedOn w:val="1"/>
    <w:autoRedefine/>
    <w:qFormat/>
    <w:uiPriority w:val="0"/>
    <w:rPr>
      <w:rFonts w:ascii="方正书宋_GBK" w:hAnsi="方正书宋_GBK" w:eastAsia="方正书宋_GBK" w:cs="方正书宋_GBK"/>
      <w:sz w:val="21"/>
    </w:rPr>
  </w:style>
  <w:style w:type="paragraph" w:customStyle="1" w:styleId="16">
    <w:name w:val="单元格样式1"/>
    <w:basedOn w:val="1"/>
    <w:autoRedefine/>
    <w:qFormat/>
    <w:uiPriority w:val="0"/>
    <w:pPr>
      <w:jc w:val="center"/>
    </w:pPr>
    <w:rPr>
      <w:rFonts w:ascii="方正书宋_GBK" w:hAnsi="方正书宋_GBK" w:eastAsia="方正书宋_GBK" w:cs="方正书宋_GBK"/>
      <w:b/>
      <w:sz w:val="21"/>
    </w:rPr>
  </w:style>
  <w:style w:type="paragraph" w:customStyle="1" w:styleId="17">
    <w:name w:val="单元格样式3"/>
    <w:basedOn w:val="1"/>
    <w:qFormat/>
    <w:uiPriority w:val="0"/>
    <w:pPr>
      <w:jc w:val="center"/>
    </w:pPr>
    <w:rPr>
      <w:rFonts w:ascii="方正书宋_GBK" w:hAnsi="方正书宋_GBK" w:eastAsia="方正书宋_GBK" w:cs="方正书宋_GBK"/>
      <w:sz w:val="21"/>
    </w:rPr>
  </w:style>
  <w:style w:type="paragraph" w:customStyle="1" w:styleId="18">
    <w:name w:val="TOC 2"/>
    <w:basedOn w:val="1"/>
    <w:autoRedefine/>
    <w:qFormat/>
    <w:uiPriority w:val="0"/>
    <w:pPr>
      <w:ind w:left="240"/>
    </w:pPr>
  </w:style>
  <w:style w:type="paragraph" w:customStyle="1" w:styleId="19">
    <w:name w:val="TOC 4"/>
    <w:basedOn w:val="1"/>
    <w:autoRedefine/>
    <w:qFormat/>
    <w:uiPriority w:val="0"/>
    <w:pPr>
      <w:ind w:left="720"/>
    </w:pPr>
  </w:style>
  <w:style w:type="paragraph" w:customStyle="1" w:styleId="20">
    <w:name w:val="TOC 1"/>
    <w:basedOn w:val="1"/>
    <w:autoRedefine/>
    <w:qFormat/>
    <w:uiPriority w:val="0"/>
    <w:pPr>
      <w:spacing w:before="120"/>
    </w:pPr>
    <w:rPr>
      <w:rFonts w:eastAsia="方正仿宋_GBK"/>
      <w:color w:val="000000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461</Words>
  <Characters>2631</Characters>
  <Lines>21</Lines>
  <Paragraphs>6</Paragraphs>
  <TotalTime>0</TotalTime>
  <ScaleCrop>false</ScaleCrop>
  <LinksUpToDate>false</LinksUpToDate>
  <CharactersWithSpaces>3086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2024-02-20T07:32:00Z</dcterms:created>
  <dc:creator>dell</dc:creator>
  <cp:lastModifiedBy>未定义</cp:lastModifiedBy>
  <dcterms:modified xsi:type="dcterms:W3CDTF">2024-03-11T10:02:06Z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97A3CFC163AA46B6B9691472D2F8DA2F_12</vt:lpwstr>
  </property>
</Properties>
</file>