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6D" w:rsidRDefault="003C1570" w:rsidP="00F4666D">
      <w:pPr>
        <w:pStyle w:val="SMEDI"/>
        <w:spacing w:line="240" w:lineRule="auto"/>
        <w:ind w:firstLineChars="0" w:firstLine="0"/>
        <w:jc w:val="center"/>
        <w:rPr>
          <w:rFonts w:ascii="宋体" w:eastAsia="宋体" w:hAnsi="宋体"/>
          <w:b/>
          <w:sz w:val="44"/>
        </w:rPr>
      </w:pPr>
      <w:bookmarkStart w:id="0" w:name="_Toc211064565"/>
      <w:bookmarkStart w:id="1" w:name="_Toc216922558"/>
      <w:bookmarkStart w:id="2" w:name="_Toc210925073"/>
      <w:bookmarkStart w:id="3" w:name="OLE_LINK5"/>
      <w:bookmarkStart w:id="4" w:name="_Toc216982291"/>
      <w:bookmarkStart w:id="5" w:name="_Toc217878247"/>
      <w:bookmarkStart w:id="6" w:name="_Toc217878511"/>
      <w:bookmarkStart w:id="7" w:name="_Toc217880848"/>
      <w:bookmarkStart w:id="8" w:name="_Toc112682629"/>
      <w:r w:rsidRPr="00E831DA">
        <w:rPr>
          <w:rFonts w:ascii="宋体" w:eastAsia="宋体" w:hAnsi="宋体" w:hint="eastAsia"/>
          <w:b/>
          <w:sz w:val="44"/>
        </w:rPr>
        <w:t>天津市</w:t>
      </w:r>
      <w:bookmarkStart w:id="9" w:name="OLE_LINK6"/>
      <w:r w:rsidR="00151251">
        <w:rPr>
          <w:rFonts w:ascii="宋体" w:eastAsia="宋体" w:hAnsi="宋体" w:hint="eastAsia"/>
          <w:b/>
          <w:sz w:val="44"/>
        </w:rPr>
        <w:t>燃气</w:t>
      </w:r>
      <w:r w:rsidRPr="00E831DA">
        <w:rPr>
          <w:rFonts w:ascii="宋体" w:eastAsia="宋体" w:hAnsi="宋体" w:hint="eastAsia"/>
          <w:b/>
          <w:sz w:val="44"/>
        </w:rPr>
        <w:t>专项</w:t>
      </w:r>
      <w:bookmarkStart w:id="10" w:name="OLE_LINK3"/>
      <w:bookmarkStart w:id="11" w:name="OLE_LINK4"/>
      <w:bookmarkEnd w:id="9"/>
      <w:r w:rsidRPr="00E831DA">
        <w:rPr>
          <w:rFonts w:ascii="宋体" w:eastAsia="宋体" w:hAnsi="宋体" w:hint="eastAsia"/>
          <w:b/>
          <w:sz w:val="44"/>
        </w:rPr>
        <w:t>规划</w:t>
      </w:r>
      <w:bookmarkEnd w:id="10"/>
      <w:bookmarkEnd w:id="11"/>
    </w:p>
    <w:p w:rsidR="003C1570" w:rsidRDefault="003C1570" w:rsidP="00F4666D">
      <w:pPr>
        <w:pStyle w:val="SMEDI"/>
        <w:spacing w:line="240" w:lineRule="auto"/>
        <w:ind w:firstLineChars="0" w:firstLine="0"/>
        <w:jc w:val="center"/>
        <w:rPr>
          <w:rFonts w:ascii="宋体" w:eastAsia="宋体" w:hAnsi="宋体"/>
          <w:b/>
          <w:sz w:val="44"/>
        </w:rPr>
      </w:pPr>
      <w:r w:rsidRPr="00E831DA">
        <w:rPr>
          <w:rFonts w:ascii="宋体" w:eastAsia="宋体" w:hAnsi="宋体" w:hint="eastAsia"/>
          <w:b/>
          <w:sz w:val="44"/>
        </w:rPr>
        <w:t>（2021-2035年）（征求意见稿）</w:t>
      </w:r>
    </w:p>
    <w:p w:rsidR="00F4666D" w:rsidRPr="00D72104" w:rsidRDefault="00F4666D" w:rsidP="00F4666D">
      <w:pPr>
        <w:pStyle w:val="SMEDI"/>
        <w:spacing w:line="240" w:lineRule="auto"/>
        <w:ind w:firstLineChars="0" w:firstLine="0"/>
        <w:jc w:val="center"/>
        <w:rPr>
          <w:rFonts w:ascii="宋体" w:eastAsia="宋体" w:hAnsi="宋体"/>
          <w:b/>
          <w:sz w:val="44"/>
        </w:rPr>
      </w:pPr>
    </w:p>
    <w:bookmarkEnd w:id="0"/>
    <w:bookmarkEnd w:id="1"/>
    <w:bookmarkEnd w:id="2"/>
    <w:bookmarkEnd w:id="3"/>
    <w:p w:rsidR="00441ADA" w:rsidRPr="00E831DA" w:rsidRDefault="00441ADA" w:rsidP="002800E8">
      <w:pPr>
        <w:pStyle w:val="1"/>
        <w:numPr>
          <w:ilvl w:val="0"/>
          <w:numId w:val="20"/>
        </w:numPr>
        <w:adjustRightInd w:val="0"/>
        <w:snapToGrid w:val="0"/>
        <w:spacing w:before="0" w:beforeAutospacing="0" w:after="0" w:afterAutospacing="0"/>
        <w:ind w:left="0" w:firstLine="0"/>
        <w:rPr>
          <w:rFonts w:ascii="宋体" w:hAnsi="宋体"/>
          <w:szCs w:val="40"/>
        </w:rPr>
      </w:pPr>
      <w:r w:rsidRPr="00E831DA">
        <w:rPr>
          <w:rFonts w:ascii="宋体" w:hAnsi="宋体" w:hint="eastAsia"/>
          <w:szCs w:val="40"/>
        </w:rPr>
        <w:t>总则</w:t>
      </w:r>
      <w:bookmarkEnd w:id="4"/>
      <w:bookmarkEnd w:id="5"/>
      <w:bookmarkEnd w:id="6"/>
      <w:bookmarkEnd w:id="7"/>
      <w:bookmarkEnd w:id="8"/>
    </w:p>
    <w:p w:rsidR="003C1570" w:rsidRPr="00D67B70" w:rsidRDefault="003C1570" w:rsidP="002800E8">
      <w:pPr>
        <w:pStyle w:val="2"/>
        <w:numPr>
          <w:ilvl w:val="0"/>
          <w:numId w:val="2"/>
        </w:numPr>
        <w:tabs>
          <w:tab w:val="left" w:pos="1505"/>
        </w:tabs>
        <w:adjustRightInd w:val="0"/>
        <w:snapToGrid w:val="0"/>
        <w:spacing w:before="0" w:beforeAutospacing="0" w:after="0" w:afterAutospacing="0"/>
        <w:ind w:left="0" w:firstLine="0"/>
      </w:pPr>
      <w:bookmarkStart w:id="12" w:name="_Toc216982292"/>
      <w:r w:rsidRPr="00D67B70">
        <w:rPr>
          <w:rFonts w:hint="eastAsia"/>
        </w:rPr>
        <w:t>规划背景</w:t>
      </w:r>
    </w:p>
    <w:p w:rsidR="00CD0D8E" w:rsidRPr="00515327" w:rsidRDefault="00CD0D8E" w:rsidP="00B35B95">
      <w:pPr>
        <w:adjustRightInd w:val="0"/>
        <w:snapToGrid w:val="0"/>
        <w:ind w:firstLine="592"/>
        <w:rPr>
          <w:rFonts w:ascii="仿宋_GB2312"/>
          <w:spacing w:val="8"/>
          <w:kern w:val="2"/>
          <w:szCs w:val="20"/>
        </w:rPr>
      </w:pPr>
      <w:r w:rsidRPr="00515327">
        <w:rPr>
          <w:rFonts w:ascii="仿宋_GB2312" w:hint="eastAsia"/>
          <w:spacing w:val="8"/>
          <w:kern w:val="2"/>
          <w:szCs w:val="20"/>
        </w:rPr>
        <w:t>党的十九大确立了习近平新时代中国特色社会主义思想。以习近平同志为核心的党中央以前所未有的力度抓生态文明建设，确立了习近平生态文明思想。全党全国推动绿色发展的自觉性和主动性显著增强，美丽中国建设迈出重大步伐，我国生态环境保护发生历史性、转折性、全局性变化，生态文明建设取得历史性成就。</w:t>
      </w:r>
    </w:p>
    <w:p w:rsidR="00515327" w:rsidRPr="00515327" w:rsidRDefault="00515327" w:rsidP="00B35B95">
      <w:pPr>
        <w:adjustRightInd w:val="0"/>
        <w:snapToGrid w:val="0"/>
        <w:ind w:firstLine="592"/>
        <w:rPr>
          <w:rFonts w:ascii="仿宋_GB2312"/>
          <w:spacing w:val="8"/>
          <w:kern w:val="2"/>
          <w:szCs w:val="20"/>
        </w:rPr>
      </w:pPr>
      <w:r w:rsidRPr="00B35B95">
        <w:rPr>
          <w:rFonts w:ascii="仿宋_GB2312" w:hint="eastAsia"/>
          <w:spacing w:val="8"/>
          <w:kern w:val="2"/>
          <w:szCs w:val="20"/>
        </w:rPr>
        <w:t>深入贯彻落实习近平总书记关于安全生产重要论述，牢固树立新发展理念，统筹发展和安全，坚持人民至上、生命至上，切实增强防范化解燃气安全风险的政治责任。</w:t>
      </w:r>
    </w:p>
    <w:p w:rsidR="00BB35C9" w:rsidRPr="00515327" w:rsidRDefault="00CC19D4" w:rsidP="00B35B95">
      <w:pPr>
        <w:adjustRightInd w:val="0"/>
        <w:snapToGrid w:val="0"/>
        <w:ind w:firstLine="592"/>
        <w:rPr>
          <w:rFonts w:ascii="仿宋_GB2312"/>
          <w:spacing w:val="8"/>
          <w:kern w:val="2"/>
          <w:szCs w:val="20"/>
        </w:rPr>
      </w:pPr>
      <w:r w:rsidRPr="00515327">
        <w:rPr>
          <w:rFonts w:ascii="仿宋_GB2312" w:hint="eastAsia"/>
          <w:spacing w:val="8"/>
          <w:kern w:val="2"/>
          <w:szCs w:val="20"/>
        </w:rPr>
        <w:t>城市供气是关系广大人民群众生活的重大民生工程和民心工程。党中央、国务院针对天然气产供储销体系建设工作多次决策部署，确保安全平稳供气是党中央、国务院的明确要求。</w:t>
      </w:r>
    </w:p>
    <w:p w:rsidR="00BB35C9" w:rsidRPr="00515327" w:rsidRDefault="00BB35C9" w:rsidP="00B35B95">
      <w:pPr>
        <w:adjustRightInd w:val="0"/>
        <w:snapToGrid w:val="0"/>
        <w:ind w:firstLine="592"/>
        <w:rPr>
          <w:rFonts w:ascii="仿宋_GB2312"/>
          <w:spacing w:val="8"/>
          <w:kern w:val="2"/>
          <w:szCs w:val="20"/>
        </w:rPr>
      </w:pPr>
      <w:r w:rsidRPr="00515327">
        <w:rPr>
          <w:rFonts w:ascii="仿宋_GB2312" w:hint="eastAsia"/>
          <w:spacing w:val="8"/>
          <w:kern w:val="2"/>
          <w:szCs w:val="20"/>
        </w:rPr>
        <w:t>目前，我市正在编制国土空间总体规划，按照《天津市国土空间总体规划编制工作领导小组办公室关于请做好我市有关专项规划工作的通知》（津总规办字〔2020〕2号）的要求，</w:t>
      </w:r>
      <w:r w:rsidR="00CC19D4" w:rsidRPr="00515327">
        <w:rPr>
          <w:rFonts w:ascii="仿宋_GB2312" w:hint="eastAsia"/>
          <w:spacing w:val="8"/>
          <w:kern w:val="2"/>
          <w:szCs w:val="20"/>
        </w:rPr>
        <w:t>燃气</w:t>
      </w:r>
      <w:r w:rsidRPr="00515327">
        <w:rPr>
          <w:rFonts w:ascii="仿宋_GB2312" w:hint="eastAsia"/>
          <w:spacing w:val="8"/>
          <w:kern w:val="2"/>
          <w:szCs w:val="20"/>
        </w:rPr>
        <w:t>专项规划应与</w:t>
      </w:r>
      <w:r w:rsidR="000B6102" w:rsidRPr="00515327">
        <w:rPr>
          <w:rFonts w:ascii="仿宋_GB2312" w:hint="eastAsia"/>
          <w:spacing w:val="8"/>
          <w:kern w:val="2"/>
          <w:szCs w:val="20"/>
        </w:rPr>
        <w:t>国土空间</w:t>
      </w:r>
      <w:r w:rsidRPr="00515327">
        <w:rPr>
          <w:rFonts w:ascii="仿宋_GB2312" w:hint="eastAsia"/>
          <w:spacing w:val="8"/>
          <w:kern w:val="2"/>
          <w:szCs w:val="20"/>
        </w:rPr>
        <w:t>总体规划同步编制，以保障重要</w:t>
      </w:r>
      <w:r w:rsidR="00CC19D4" w:rsidRPr="00515327">
        <w:rPr>
          <w:rFonts w:ascii="仿宋_GB2312" w:hint="eastAsia"/>
          <w:spacing w:val="8"/>
          <w:kern w:val="2"/>
          <w:szCs w:val="20"/>
        </w:rPr>
        <w:t>燃气</w:t>
      </w:r>
      <w:r w:rsidRPr="00515327">
        <w:rPr>
          <w:rFonts w:ascii="仿宋_GB2312" w:hint="eastAsia"/>
          <w:spacing w:val="8"/>
          <w:kern w:val="2"/>
          <w:szCs w:val="20"/>
        </w:rPr>
        <w:t>设施空间落位，同时指导</w:t>
      </w:r>
      <w:r w:rsidR="00CC19D4" w:rsidRPr="00515327">
        <w:rPr>
          <w:rFonts w:ascii="仿宋_GB2312" w:hint="eastAsia"/>
          <w:spacing w:val="8"/>
          <w:kern w:val="2"/>
          <w:szCs w:val="20"/>
        </w:rPr>
        <w:t>燃气</w:t>
      </w:r>
      <w:r w:rsidRPr="00515327">
        <w:rPr>
          <w:rFonts w:ascii="仿宋_GB2312" w:hint="eastAsia"/>
          <w:spacing w:val="8"/>
          <w:kern w:val="2"/>
          <w:szCs w:val="20"/>
        </w:rPr>
        <w:t>领域规划建设。</w:t>
      </w:r>
    </w:p>
    <w:p w:rsidR="00441ADA" w:rsidRDefault="00441ADA" w:rsidP="008915A9">
      <w:pPr>
        <w:pStyle w:val="2"/>
        <w:numPr>
          <w:ilvl w:val="0"/>
          <w:numId w:val="2"/>
        </w:numPr>
        <w:tabs>
          <w:tab w:val="left" w:pos="1505"/>
        </w:tabs>
        <w:adjustRightInd w:val="0"/>
        <w:snapToGrid w:val="0"/>
        <w:spacing w:before="0" w:beforeAutospacing="0" w:after="0" w:afterAutospacing="0"/>
        <w:ind w:left="0" w:firstLine="0"/>
      </w:pPr>
      <w:bookmarkStart w:id="13" w:name="OLE_LINK9"/>
      <w:r>
        <w:rPr>
          <w:rFonts w:hint="eastAsia"/>
        </w:rPr>
        <w:t>规划</w:t>
      </w:r>
      <w:bookmarkEnd w:id="12"/>
      <w:r>
        <w:rPr>
          <w:rFonts w:hint="eastAsia"/>
        </w:rPr>
        <w:t>范围及年限</w:t>
      </w:r>
    </w:p>
    <w:p w:rsidR="00942F48" w:rsidRPr="00515327" w:rsidRDefault="00942F48" w:rsidP="00B35B95">
      <w:pPr>
        <w:adjustRightInd w:val="0"/>
        <w:snapToGrid w:val="0"/>
        <w:ind w:firstLine="592"/>
        <w:rPr>
          <w:rFonts w:ascii="仿宋_GB2312"/>
          <w:spacing w:val="8"/>
          <w:kern w:val="2"/>
          <w:szCs w:val="20"/>
        </w:rPr>
      </w:pPr>
      <w:bookmarkStart w:id="14" w:name="_Toc216982293"/>
      <w:bookmarkEnd w:id="13"/>
      <w:r w:rsidRPr="00515327">
        <w:rPr>
          <w:rFonts w:ascii="仿宋_GB2312" w:hint="eastAsia"/>
          <w:spacing w:val="8"/>
          <w:kern w:val="2"/>
          <w:szCs w:val="20"/>
        </w:rPr>
        <w:t>本次规划范围为</w:t>
      </w:r>
      <w:r w:rsidR="00C243E6" w:rsidRPr="00515327">
        <w:rPr>
          <w:rFonts w:ascii="仿宋_GB2312" w:hint="eastAsia"/>
          <w:spacing w:val="8"/>
          <w:kern w:val="2"/>
          <w:szCs w:val="20"/>
        </w:rPr>
        <w:t>天津市行政辖区全部国土空间</w:t>
      </w:r>
      <w:r w:rsidRPr="00515327">
        <w:rPr>
          <w:rFonts w:ascii="仿宋_GB2312" w:hint="eastAsia"/>
          <w:spacing w:val="8"/>
          <w:kern w:val="2"/>
          <w:szCs w:val="20"/>
        </w:rPr>
        <w:t>。</w:t>
      </w:r>
    </w:p>
    <w:p w:rsidR="00441ADA" w:rsidRPr="00515327" w:rsidRDefault="00942F48" w:rsidP="00B35B95">
      <w:pPr>
        <w:adjustRightInd w:val="0"/>
        <w:snapToGrid w:val="0"/>
        <w:ind w:firstLine="592"/>
        <w:rPr>
          <w:rFonts w:ascii="仿宋_GB2312"/>
          <w:spacing w:val="8"/>
          <w:kern w:val="2"/>
          <w:szCs w:val="20"/>
        </w:rPr>
      </w:pPr>
      <w:r w:rsidRPr="00515327">
        <w:rPr>
          <w:rFonts w:ascii="仿宋_GB2312" w:hint="eastAsia"/>
          <w:spacing w:val="8"/>
          <w:kern w:val="2"/>
          <w:szCs w:val="20"/>
        </w:rPr>
        <w:t>本次规划期限为：2021年-2035年，近期规划至2025年。</w:t>
      </w:r>
    </w:p>
    <w:bookmarkEnd w:id="14"/>
    <w:p w:rsidR="00441ADA" w:rsidRDefault="00441ADA" w:rsidP="008915A9">
      <w:pPr>
        <w:pStyle w:val="2"/>
        <w:numPr>
          <w:ilvl w:val="0"/>
          <w:numId w:val="2"/>
        </w:numPr>
        <w:tabs>
          <w:tab w:val="left" w:pos="1505"/>
        </w:tabs>
        <w:adjustRightInd w:val="0"/>
        <w:snapToGrid w:val="0"/>
        <w:spacing w:before="0" w:beforeAutospacing="0" w:after="0" w:afterAutospacing="0"/>
        <w:ind w:left="0" w:firstLine="0"/>
      </w:pPr>
      <w:r>
        <w:rPr>
          <w:rFonts w:hint="eastAsia"/>
        </w:rPr>
        <w:lastRenderedPageBreak/>
        <w:t>规划内容</w:t>
      </w:r>
      <w:r w:rsidR="005D68EA">
        <w:rPr>
          <w:rFonts w:hint="eastAsia"/>
        </w:rPr>
        <w:t>及</w:t>
      </w:r>
      <w:r w:rsidR="005D68EA">
        <w:t>深度</w:t>
      </w:r>
    </w:p>
    <w:p w:rsidR="004C4673" w:rsidRPr="00515327" w:rsidRDefault="00CC19D4" w:rsidP="00B35B95">
      <w:pPr>
        <w:adjustRightInd w:val="0"/>
        <w:snapToGrid w:val="0"/>
        <w:ind w:firstLine="592"/>
        <w:rPr>
          <w:rFonts w:ascii="仿宋_GB2312"/>
          <w:spacing w:val="8"/>
          <w:kern w:val="2"/>
          <w:szCs w:val="20"/>
        </w:rPr>
      </w:pPr>
      <w:bookmarkStart w:id="15" w:name="_Hlk107563849"/>
      <w:r w:rsidRPr="00515327">
        <w:rPr>
          <w:rFonts w:ascii="仿宋_GB2312" w:hint="eastAsia"/>
          <w:spacing w:val="8"/>
          <w:kern w:val="2"/>
          <w:szCs w:val="20"/>
        </w:rPr>
        <w:t>规划</w:t>
      </w:r>
      <w:bookmarkEnd w:id="15"/>
      <w:r w:rsidR="00312AD2">
        <w:rPr>
          <w:rFonts w:ascii="仿宋_GB2312" w:hint="eastAsia"/>
          <w:spacing w:val="8"/>
          <w:kern w:val="2"/>
          <w:szCs w:val="20"/>
        </w:rPr>
        <w:t>对象</w:t>
      </w:r>
      <w:r w:rsidRPr="00515327">
        <w:rPr>
          <w:rFonts w:ascii="仿宋_GB2312" w:hint="eastAsia"/>
          <w:spacing w:val="8"/>
          <w:kern w:val="2"/>
          <w:szCs w:val="20"/>
        </w:rPr>
        <w:t>包括城镇天然气和液化石油气，不包括天然气、液化石油气的生产和进口，门站以外的天然气管道输送，燃气作为工业生产原料的使用，沼气、秸秆气的生产和使用。</w:t>
      </w:r>
    </w:p>
    <w:p w:rsidR="00B35B95" w:rsidRPr="00B35B95" w:rsidRDefault="00B35B95" w:rsidP="00B35B95">
      <w:pPr>
        <w:adjustRightInd w:val="0"/>
        <w:snapToGrid w:val="0"/>
        <w:ind w:firstLine="592"/>
        <w:rPr>
          <w:rFonts w:ascii="仿宋_GB2312"/>
          <w:spacing w:val="8"/>
          <w:kern w:val="2"/>
          <w:szCs w:val="20"/>
        </w:rPr>
      </w:pPr>
      <w:r w:rsidRPr="00B35B95">
        <w:rPr>
          <w:rFonts w:ascii="仿宋_GB2312" w:hint="eastAsia"/>
          <w:spacing w:val="8"/>
          <w:kern w:val="2"/>
          <w:szCs w:val="20"/>
        </w:rPr>
        <w:t>结合《天津市石油天然气</w:t>
      </w:r>
      <w:r w:rsidRPr="00B35B95">
        <w:rPr>
          <w:rFonts w:ascii="仿宋_GB2312"/>
          <w:spacing w:val="8"/>
          <w:kern w:val="2"/>
          <w:szCs w:val="20"/>
        </w:rPr>
        <w:t>长输管道中长期发展和布局规划</w:t>
      </w:r>
      <w:r w:rsidRPr="00B35B95">
        <w:rPr>
          <w:rFonts w:ascii="仿宋_GB2312" w:hint="eastAsia"/>
          <w:spacing w:val="8"/>
          <w:kern w:val="2"/>
          <w:szCs w:val="20"/>
        </w:rPr>
        <w:t>（20</w:t>
      </w:r>
      <w:r w:rsidRPr="00B35B95">
        <w:rPr>
          <w:rFonts w:ascii="仿宋_GB2312"/>
          <w:spacing w:val="8"/>
          <w:kern w:val="2"/>
          <w:szCs w:val="20"/>
        </w:rPr>
        <w:t>23</w:t>
      </w:r>
      <w:r w:rsidRPr="00B35B95">
        <w:rPr>
          <w:rFonts w:ascii="仿宋_GB2312" w:hint="eastAsia"/>
          <w:spacing w:val="8"/>
          <w:kern w:val="2"/>
          <w:szCs w:val="20"/>
        </w:rPr>
        <w:t>-20</w:t>
      </w:r>
      <w:r w:rsidRPr="00B35B95">
        <w:rPr>
          <w:rFonts w:ascii="仿宋_GB2312"/>
          <w:spacing w:val="8"/>
          <w:kern w:val="2"/>
          <w:szCs w:val="20"/>
        </w:rPr>
        <w:t>35</w:t>
      </w:r>
      <w:r w:rsidRPr="00B35B95">
        <w:rPr>
          <w:rFonts w:ascii="仿宋_GB2312" w:hint="eastAsia"/>
          <w:spacing w:val="8"/>
          <w:kern w:val="2"/>
          <w:szCs w:val="20"/>
        </w:rPr>
        <w:t>年）》（阶段方案）确定的上游气源（天然气）输气系统，布局城镇天然气输配系统，规划涉及的天然气设施包括：接气门站、调峰储配站、燃气管网、调压站、区域供气站、燃气系统配套设施、汽车加气站等。其中，根据《省级国土空间规划编制指南》的要求，接气门站、调峰储配站、高压燃气干线管网、干线管网调压站作为重大燃气基础设施进行空间落位，其他设施结合津城、滨城等不同区域提出规划原则。液化石油气供应系统根据相关规范和政策文件要求提出规划发展原则。</w:t>
      </w:r>
    </w:p>
    <w:p w:rsidR="00CD0D8E" w:rsidRPr="00515327" w:rsidRDefault="00B35B95" w:rsidP="00B35B95">
      <w:pPr>
        <w:adjustRightInd w:val="0"/>
        <w:snapToGrid w:val="0"/>
        <w:ind w:firstLine="592"/>
        <w:rPr>
          <w:rFonts w:ascii="仿宋_GB2312"/>
          <w:spacing w:val="8"/>
          <w:kern w:val="2"/>
          <w:szCs w:val="20"/>
        </w:rPr>
      </w:pPr>
      <w:r w:rsidRPr="00B35B95">
        <w:rPr>
          <w:rFonts w:ascii="仿宋_GB2312" w:hint="eastAsia"/>
          <w:spacing w:val="8"/>
          <w:kern w:val="2"/>
          <w:szCs w:val="20"/>
        </w:rPr>
        <w:t>规划为落实燃气供应保障和安全保障提出相应的措施，并制定调峰及应急储备方案，同时对燃气行业相关的监控及数据管理系统、节能、消防、健康安全和环境管理体统等提出指导方案。</w:t>
      </w:r>
    </w:p>
    <w:p w:rsidR="00441ADA" w:rsidRDefault="00441ADA" w:rsidP="008915A9">
      <w:pPr>
        <w:pStyle w:val="2"/>
        <w:numPr>
          <w:ilvl w:val="0"/>
          <w:numId w:val="2"/>
        </w:numPr>
        <w:tabs>
          <w:tab w:val="left" w:pos="1505"/>
        </w:tabs>
        <w:adjustRightInd w:val="0"/>
        <w:snapToGrid w:val="0"/>
        <w:spacing w:before="0" w:beforeAutospacing="0" w:after="0" w:afterAutospacing="0"/>
        <w:ind w:left="0" w:firstLine="0"/>
      </w:pPr>
      <w:bookmarkStart w:id="16" w:name="_Toc216982294"/>
      <w:r>
        <w:rPr>
          <w:rFonts w:hint="eastAsia"/>
        </w:rPr>
        <w:t>规划依据</w:t>
      </w:r>
    </w:p>
    <w:p w:rsidR="00CD0D8E" w:rsidRPr="00515327" w:rsidRDefault="0024209A" w:rsidP="00B35B95">
      <w:pPr>
        <w:adjustRightInd w:val="0"/>
        <w:snapToGrid w:val="0"/>
        <w:ind w:firstLine="592"/>
        <w:rPr>
          <w:rFonts w:ascii="仿宋_GB2312"/>
          <w:spacing w:val="8"/>
          <w:kern w:val="2"/>
          <w:szCs w:val="20"/>
        </w:rPr>
      </w:pPr>
      <w:r w:rsidRPr="00515327">
        <w:rPr>
          <w:rFonts w:ascii="仿宋_GB2312" w:hint="eastAsia"/>
          <w:spacing w:val="8"/>
          <w:kern w:val="2"/>
          <w:szCs w:val="20"/>
        </w:rPr>
        <w:t>依据《天津市国土空间总体规划（2</w:t>
      </w:r>
      <w:r w:rsidRPr="00515327">
        <w:rPr>
          <w:rFonts w:ascii="仿宋_GB2312"/>
          <w:spacing w:val="8"/>
          <w:kern w:val="2"/>
          <w:szCs w:val="20"/>
        </w:rPr>
        <w:t>021-2035</w:t>
      </w:r>
      <w:r w:rsidRPr="00515327">
        <w:rPr>
          <w:rFonts w:ascii="仿宋_GB2312" w:hint="eastAsia"/>
          <w:spacing w:val="8"/>
          <w:kern w:val="2"/>
          <w:szCs w:val="20"/>
        </w:rPr>
        <w:t>年）</w:t>
      </w:r>
      <w:r w:rsidRPr="00515327">
        <w:rPr>
          <w:rFonts w:ascii="仿宋_GB2312"/>
          <w:spacing w:val="8"/>
          <w:kern w:val="2"/>
          <w:szCs w:val="20"/>
        </w:rPr>
        <w:t>》</w:t>
      </w:r>
      <w:r w:rsidRPr="00515327">
        <w:rPr>
          <w:rFonts w:ascii="仿宋_GB2312" w:hint="eastAsia"/>
          <w:spacing w:val="8"/>
          <w:kern w:val="2"/>
          <w:szCs w:val="20"/>
        </w:rPr>
        <w:t>（阶段方案）</w:t>
      </w:r>
      <w:bookmarkStart w:id="17" w:name="_Hlk120085714"/>
      <w:r w:rsidRPr="00515327">
        <w:rPr>
          <w:rFonts w:ascii="仿宋_GB2312" w:hint="eastAsia"/>
          <w:spacing w:val="8"/>
          <w:kern w:val="2"/>
          <w:szCs w:val="20"/>
        </w:rPr>
        <w:t>和其它相关规划以及法律法规、规范标准</w:t>
      </w:r>
      <w:r w:rsidR="006F273C" w:rsidRPr="00515327">
        <w:rPr>
          <w:rFonts w:ascii="仿宋_GB2312" w:hint="eastAsia"/>
          <w:spacing w:val="8"/>
          <w:kern w:val="2"/>
          <w:szCs w:val="20"/>
        </w:rPr>
        <w:t>、国家和地方相关政策文件。</w:t>
      </w:r>
      <w:bookmarkEnd w:id="17"/>
    </w:p>
    <w:p w:rsidR="00441ADA" w:rsidRPr="00875087" w:rsidRDefault="00441ADA" w:rsidP="002800E8">
      <w:pPr>
        <w:pStyle w:val="1"/>
        <w:numPr>
          <w:ilvl w:val="0"/>
          <w:numId w:val="20"/>
        </w:numPr>
        <w:adjustRightInd w:val="0"/>
        <w:snapToGrid w:val="0"/>
        <w:spacing w:before="0" w:beforeAutospacing="0" w:after="0" w:afterAutospacing="0"/>
        <w:ind w:left="0" w:firstLine="0"/>
        <w:rPr>
          <w:rFonts w:ascii="宋体" w:hAnsi="宋体"/>
          <w:szCs w:val="40"/>
        </w:rPr>
      </w:pPr>
      <w:bookmarkStart w:id="18" w:name="_Toc112682631"/>
      <w:bookmarkStart w:id="19" w:name="_Toc216982295"/>
      <w:bookmarkStart w:id="20" w:name="_Toc217878512"/>
      <w:bookmarkStart w:id="21" w:name="_Toc217878248"/>
      <w:bookmarkStart w:id="22" w:name="_Toc217880849"/>
      <w:bookmarkEnd w:id="16"/>
      <w:r w:rsidRPr="00875087">
        <w:rPr>
          <w:rFonts w:ascii="宋体" w:hAnsi="宋体" w:hint="eastAsia"/>
          <w:szCs w:val="40"/>
        </w:rPr>
        <w:t>规划目标及原则</w:t>
      </w:r>
      <w:bookmarkEnd w:id="18"/>
    </w:p>
    <w:p w:rsidR="00441ADA" w:rsidRDefault="00441ADA" w:rsidP="008915A9">
      <w:pPr>
        <w:pStyle w:val="2"/>
        <w:numPr>
          <w:ilvl w:val="0"/>
          <w:numId w:val="2"/>
        </w:numPr>
        <w:tabs>
          <w:tab w:val="left" w:pos="1505"/>
        </w:tabs>
        <w:adjustRightInd w:val="0"/>
        <w:snapToGrid w:val="0"/>
        <w:spacing w:before="0" w:beforeAutospacing="0" w:after="0" w:afterAutospacing="0"/>
        <w:ind w:left="0" w:firstLine="0"/>
      </w:pPr>
      <w:bookmarkStart w:id="23" w:name="_Toc216982296"/>
      <w:bookmarkEnd w:id="19"/>
      <w:bookmarkEnd w:id="20"/>
      <w:bookmarkEnd w:id="21"/>
      <w:bookmarkEnd w:id="22"/>
      <w:r>
        <w:rPr>
          <w:rFonts w:hint="eastAsia"/>
        </w:rPr>
        <w:t>规划</w:t>
      </w:r>
      <w:bookmarkEnd w:id="23"/>
      <w:r>
        <w:rPr>
          <w:rFonts w:hint="eastAsia"/>
        </w:rPr>
        <w:t>目标</w:t>
      </w:r>
    </w:p>
    <w:p w:rsidR="009011A0" w:rsidRPr="00515327" w:rsidRDefault="009011A0" w:rsidP="00B35B95">
      <w:pPr>
        <w:adjustRightInd w:val="0"/>
        <w:snapToGrid w:val="0"/>
        <w:ind w:firstLine="592"/>
        <w:rPr>
          <w:rFonts w:ascii="仿宋_GB2312"/>
          <w:spacing w:val="8"/>
          <w:kern w:val="2"/>
          <w:szCs w:val="20"/>
        </w:rPr>
      </w:pPr>
      <w:bookmarkStart w:id="24" w:name="_Toc216982297"/>
      <w:r w:rsidRPr="00515327">
        <w:rPr>
          <w:rFonts w:ascii="仿宋_GB2312" w:hint="eastAsia"/>
          <w:spacing w:val="8"/>
          <w:kern w:val="2"/>
          <w:szCs w:val="20"/>
        </w:rPr>
        <w:t>落实习近平</w:t>
      </w:r>
      <w:r w:rsidRPr="00515327">
        <w:rPr>
          <w:rFonts w:ascii="仿宋_GB2312"/>
          <w:spacing w:val="8"/>
          <w:kern w:val="2"/>
          <w:szCs w:val="20"/>
        </w:rPr>
        <w:t>新时代中国</w:t>
      </w:r>
      <w:r w:rsidRPr="00515327">
        <w:rPr>
          <w:rFonts w:ascii="仿宋_GB2312" w:hint="eastAsia"/>
          <w:spacing w:val="8"/>
          <w:kern w:val="2"/>
          <w:szCs w:val="20"/>
        </w:rPr>
        <w:t>特色</w:t>
      </w:r>
      <w:r w:rsidRPr="00515327">
        <w:rPr>
          <w:rFonts w:ascii="仿宋_GB2312"/>
          <w:spacing w:val="8"/>
          <w:kern w:val="2"/>
          <w:szCs w:val="20"/>
        </w:rPr>
        <w:t>社会主义思想，</w:t>
      </w:r>
      <w:r w:rsidRPr="00515327">
        <w:rPr>
          <w:rFonts w:ascii="仿宋_GB2312" w:hint="eastAsia"/>
          <w:spacing w:val="8"/>
          <w:kern w:val="2"/>
          <w:szCs w:val="20"/>
        </w:rPr>
        <w:t>以</w:t>
      </w:r>
      <w:r w:rsidRPr="00515327">
        <w:rPr>
          <w:rFonts w:ascii="仿宋_GB2312"/>
          <w:spacing w:val="8"/>
          <w:kern w:val="2"/>
          <w:szCs w:val="20"/>
        </w:rPr>
        <w:t>新发展理念引导</w:t>
      </w:r>
      <w:r w:rsidRPr="00515327">
        <w:rPr>
          <w:rFonts w:ascii="仿宋_GB2312" w:hint="eastAsia"/>
          <w:spacing w:val="8"/>
          <w:kern w:val="2"/>
          <w:szCs w:val="20"/>
        </w:rPr>
        <w:t>经济</w:t>
      </w:r>
      <w:r w:rsidRPr="00515327">
        <w:rPr>
          <w:rFonts w:ascii="仿宋_GB2312"/>
          <w:spacing w:val="8"/>
          <w:kern w:val="2"/>
          <w:szCs w:val="20"/>
        </w:rPr>
        <w:t>高质量发展</w:t>
      </w:r>
      <w:r w:rsidRPr="00515327">
        <w:rPr>
          <w:rFonts w:ascii="仿宋_GB2312" w:hint="eastAsia"/>
          <w:spacing w:val="8"/>
          <w:kern w:val="2"/>
          <w:szCs w:val="20"/>
        </w:rPr>
        <w:t>。我国力争2030年前实现碳达峰，2060年前实现碳中和，能源绿色低碳发展已成为趋势，以全面绿色转型为引</w:t>
      </w:r>
      <w:r w:rsidRPr="00515327">
        <w:rPr>
          <w:rFonts w:ascii="仿宋_GB2312" w:hint="eastAsia"/>
          <w:spacing w:val="8"/>
          <w:kern w:val="2"/>
          <w:szCs w:val="20"/>
        </w:rPr>
        <w:lastRenderedPageBreak/>
        <w:t>领高质量规划燃气事业发展，减少主要污染物排放。</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hint="eastAsia"/>
          <w:spacing w:val="8"/>
          <w:kern w:val="2"/>
          <w:szCs w:val="20"/>
        </w:rPr>
        <w:t>坚持绿水青山就是金山银山的理念，坚持生态优先、绿色发展的导向，建立健全科学合理的燃气发展格局，加强资源合理配置、提高资源利用效率，</w:t>
      </w:r>
      <w:r w:rsidRPr="00515327">
        <w:rPr>
          <w:rFonts w:ascii="仿宋_GB2312"/>
          <w:spacing w:val="8"/>
          <w:kern w:val="2"/>
          <w:szCs w:val="20"/>
        </w:rPr>
        <w:t>为建设生态宜居城市</w:t>
      </w:r>
      <w:r w:rsidRPr="00515327">
        <w:rPr>
          <w:rFonts w:ascii="仿宋_GB2312" w:hint="eastAsia"/>
          <w:spacing w:val="8"/>
          <w:kern w:val="2"/>
          <w:szCs w:val="20"/>
        </w:rPr>
        <w:t>和</w:t>
      </w:r>
      <w:r w:rsidRPr="00515327">
        <w:rPr>
          <w:rFonts w:ascii="仿宋_GB2312"/>
          <w:spacing w:val="8"/>
          <w:kern w:val="2"/>
          <w:szCs w:val="20"/>
        </w:rPr>
        <w:t>推动社会经济发展</w:t>
      </w:r>
      <w:r w:rsidRPr="00515327">
        <w:rPr>
          <w:rFonts w:ascii="仿宋_GB2312" w:hint="eastAsia"/>
          <w:spacing w:val="8"/>
          <w:kern w:val="2"/>
          <w:szCs w:val="20"/>
        </w:rPr>
        <w:t>提供</w:t>
      </w:r>
      <w:r w:rsidRPr="00515327">
        <w:rPr>
          <w:rFonts w:ascii="仿宋_GB2312"/>
          <w:spacing w:val="8"/>
          <w:kern w:val="2"/>
          <w:szCs w:val="20"/>
        </w:rPr>
        <w:t>有效支撑</w:t>
      </w:r>
      <w:r w:rsidRPr="00515327">
        <w:rPr>
          <w:rFonts w:ascii="仿宋_GB2312" w:hint="eastAsia"/>
          <w:spacing w:val="8"/>
          <w:kern w:val="2"/>
          <w:szCs w:val="20"/>
        </w:rPr>
        <w:t>。</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hint="eastAsia"/>
          <w:spacing w:val="8"/>
          <w:kern w:val="2"/>
          <w:szCs w:val="20"/>
        </w:rPr>
        <w:t>满足天津市燃气</w:t>
      </w:r>
      <w:r w:rsidRPr="00515327">
        <w:rPr>
          <w:rFonts w:ascii="仿宋_GB2312"/>
          <w:spacing w:val="8"/>
          <w:kern w:val="2"/>
          <w:szCs w:val="20"/>
        </w:rPr>
        <w:t>发展需求，</w:t>
      </w:r>
      <w:r w:rsidRPr="00515327">
        <w:rPr>
          <w:rFonts w:ascii="仿宋_GB2312" w:hint="eastAsia"/>
          <w:spacing w:val="8"/>
          <w:kern w:val="2"/>
          <w:szCs w:val="20"/>
        </w:rPr>
        <w:t>以战略性和前瞻性的规划思维优化城镇燃气厂站和管网等设施发展布局，指导未来燃气设施建设，为重点建设项目提供依据。</w:t>
      </w:r>
    </w:p>
    <w:p w:rsidR="00441ADA" w:rsidRDefault="00441ADA" w:rsidP="008915A9">
      <w:pPr>
        <w:pStyle w:val="2"/>
        <w:numPr>
          <w:ilvl w:val="0"/>
          <w:numId w:val="2"/>
        </w:numPr>
        <w:tabs>
          <w:tab w:val="left" w:pos="1505"/>
        </w:tabs>
        <w:adjustRightInd w:val="0"/>
        <w:snapToGrid w:val="0"/>
        <w:spacing w:before="0" w:beforeAutospacing="0" w:after="0" w:afterAutospacing="0"/>
        <w:ind w:left="0" w:firstLine="0"/>
      </w:pPr>
      <w:r>
        <w:rPr>
          <w:rFonts w:hint="eastAsia"/>
        </w:rPr>
        <w:t>规划</w:t>
      </w:r>
      <w:bookmarkEnd w:id="24"/>
      <w:r>
        <w:rPr>
          <w:rFonts w:hint="eastAsia"/>
        </w:rPr>
        <w:t>原则</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spacing w:val="8"/>
          <w:kern w:val="2"/>
          <w:szCs w:val="20"/>
        </w:rPr>
        <w:t>1</w:t>
      </w:r>
      <w:r w:rsidRPr="00515327">
        <w:rPr>
          <w:rFonts w:ascii="仿宋_GB2312" w:hint="eastAsia"/>
          <w:spacing w:val="8"/>
          <w:kern w:val="2"/>
          <w:szCs w:val="20"/>
        </w:rPr>
        <w:t>、统筹发展合理布局</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hint="eastAsia"/>
          <w:spacing w:val="8"/>
          <w:kern w:val="2"/>
          <w:szCs w:val="20"/>
        </w:rPr>
        <w:t>燃气行业的发展要根据全市燃气资源总量平衡情况，与国民经济发展和人民生活改善的总体目标相一致、相适应，要根据各区的经济发展水平和燃气行业现状，因地制宜，合理布局，科学规划，使燃气行业得到有序协调发展。</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hint="eastAsia"/>
          <w:spacing w:val="8"/>
          <w:kern w:val="2"/>
          <w:szCs w:val="20"/>
        </w:rPr>
        <w:t>2、保障安全稳定供气</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hint="eastAsia"/>
          <w:spacing w:val="8"/>
          <w:kern w:val="2"/>
          <w:szCs w:val="20"/>
        </w:rPr>
        <w:t>完善城镇燃气供气安全保障机制、调节机制和气源多元化供给机制，完善燃气设施安全运行监管机制，预防和减少各类燃气事故的发生，提高燃气供应的安全性和可靠性，保障经济社会稳定和人民群众生命财产安全。</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spacing w:val="8"/>
          <w:kern w:val="2"/>
          <w:szCs w:val="20"/>
        </w:rPr>
        <w:t>3</w:t>
      </w:r>
      <w:r w:rsidRPr="00515327">
        <w:rPr>
          <w:rFonts w:ascii="仿宋_GB2312" w:hint="eastAsia"/>
          <w:spacing w:val="8"/>
          <w:kern w:val="2"/>
          <w:szCs w:val="20"/>
        </w:rPr>
        <w:t>、发展创新拓展应用</w:t>
      </w:r>
    </w:p>
    <w:p w:rsidR="009011A0" w:rsidRPr="00515327" w:rsidRDefault="009011A0" w:rsidP="00B35B95">
      <w:pPr>
        <w:adjustRightInd w:val="0"/>
        <w:snapToGrid w:val="0"/>
        <w:ind w:firstLine="592"/>
        <w:rPr>
          <w:rFonts w:ascii="仿宋_GB2312"/>
          <w:spacing w:val="8"/>
          <w:kern w:val="2"/>
          <w:szCs w:val="20"/>
        </w:rPr>
      </w:pPr>
      <w:r w:rsidRPr="00515327">
        <w:rPr>
          <w:rFonts w:ascii="仿宋_GB2312" w:hint="eastAsia"/>
          <w:spacing w:val="8"/>
          <w:kern w:val="2"/>
          <w:szCs w:val="20"/>
        </w:rPr>
        <w:t>以促进节能减排为出发点，坚持技术研发和自主创新，不断拓展燃气应用领域，大力推广天然气领域新技术，改进能源消费方式，提高一次能源占比。</w:t>
      </w:r>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bookmarkStart w:id="25" w:name="_Toc119230853"/>
      <w:r w:rsidRPr="00875087">
        <w:rPr>
          <w:rFonts w:ascii="宋体" w:hAnsi="宋体" w:hint="eastAsia"/>
          <w:szCs w:val="40"/>
        </w:rPr>
        <w:lastRenderedPageBreak/>
        <w:t>燃气负荷预测</w:t>
      </w:r>
      <w:bookmarkEnd w:id="25"/>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26" w:name="_Toc119230855"/>
      <w:r w:rsidRPr="00D43255">
        <w:rPr>
          <w:rFonts w:hint="eastAsia"/>
        </w:rPr>
        <w:t>天然气需求预测</w:t>
      </w:r>
      <w:bookmarkEnd w:id="26"/>
    </w:p>
    <w:p w:rsidR="00D43255" w:rsidRPr="00664A98" w:rsidRDefault="00D43255" w:rsidP="00B35B95">
      <w:pPr>
        <w:adjustRightInd w:val="0"/>
        <w:snapToGrid w:val="0"/>
        <w:ind w:firstLine="592"/>
        <w:rPr>
          <w:rFonts w:ascii="仿宋_GB2312"/>
          <w:color w:val="000000" w:themeColor="text1"/>
          <w:spacing w:val="8"/>
          <w:kern w:val="2"/>
          <w:szCs w:val="20"/>
        </w:rPr>
      </w:pPr>
      <w:bookmarkStart w:id="27" w:name="_Toc67250716"/>
      <w:r w:rsidRPr="00664A98">
        <w:rPr>
          <w:rFonts w:ascii="仿宋_GB2312" w:hint="eastAsia"/>
          <w:color w:val="000000" w:themeColor="text1"/>
          <w:spacing w:val="8"/>
          <w:kern w:val="2"/>
          <w:szCs w:val="20"/>
        </w:rPr>
        <w:t>到2</w:t>
      </w:r>
      <w:r w:rsidRPr="00664A98">
        <w:rPr>
          <w:rFonts w:ascii="仿宋_GB2312"/>
          <w:color w:val="000000" w:themeColor="text1"/>
          <w:spacing w:val="8"/>
          <w:kern w:val="2"/>
          <w:szCs w:val="20"/>
        </w:rPr>
        <w:t>025</w:t>
      </w:r>
      <w:r w:rsidRPr="00664A98">
        <w:rPr>
          <w:rFonts w:ascii="仿宋_GB2312" w:hint="eastAsia"/>
          <w:color w:val="000000" w:themeColor="text1"/>
          <w:spacing w:val="8"/>
          <w:kern w:val="2"/>
          <w:szCs w:val="20"/>
        </w:rPr>
        <w:t>年，天津市天然气需求量为</w:t>
      </w:r>
      <w:r w:rsidRPr="00664A98">
        <w:rPr>
          <w:rFonts w:ascii="仿宋_GB2312"/>
          <w:color w:val="000000" w:themeColor="text1"/>
          <w:spacing w:val="8"/>
          <w:kern w:val="2"/>
          <w:szCs w:val="20"/>
        </w:rPr>
        <w:t>1</w:t>
      </w:r>
      <w:r w:rsidR="00B35B95" w:rsidRPr="00664A98">
        <w:rPr>
          <w:rFonts w:ascii="仿宋_GB2312"/>
          <w:color w:val="000000" w:themeColor="text1"/>
          <w:spacing w:val="8"/>
          <w:kern w:val="2"/>
          <w:szCs w:val="20"/>
        </w:rPr>
        <w:t>10</w:t>
      </w:r>
      <w:r w:rsidRPr="00664A98">
        <w:rPr>
          <w:rFonts w:ascii="仿宋_GB2312" w:hint="eastAsia"/>
          <w:color w:val="000000" w:themeColor="text1"/>
          <w:spacing w:val="8"/>
          <w:kern w:val="2"/>
          <w:szCs w:val="20"/>
        </w:rPr>
        <w:t>亿立方米，到2035年，</w:t>
      </w:r>
      <w:r w:rsidR="00B35B95" w:rsidRPr="00664A98">
        <w:rPr>
          <w:rFonts w:ascii="仿宋_GB2312" w:hint="eastAsia"/>
          <w:color w:val="000000" w:themeColor="text1"/>
          <w:spacing w:val="8"/>
          <w:kern w:val="2"/>
          <w:szCs w:val="20"/>
        </w:rPr>
        <w:t>天津市天然气需求量为</w:t>
      </w:r>
      <w:r w:rsidR="00B35B95" w:rsidRPr="00664A98">
        <w:rPr>
          <w:rFonts w:ascii="仿宋_GB2312"/>
          <w:color w:val="000000" w:themeColor="text1"/>
          <w:spacing w:val="8"/>
          <w:kern w:val="2"/>
          <w:szCs w:val="20"/>
        </w:rPr>
        <w:t>157</w:t>
      </w:r>
      <w:r w:rsidR="00B35B95" w:rsidRPr="00664A98">
        <w:rPr>
          <w:rFonts w:ascii="仿宋_GB2312" w:hint="eastAsia"/>
          <w:color w:val="000000" w:themeColor="text1"/>
          <w:spacing w:val="8"/>
          <w:kern w:val="2"/>
          <w:szCs w:val="20"/>
        </w:rPr>
        <w:t>亿立方米</w:t>
      </w:r>
      <w:r w:rsidRPr="00664A98">
        <w:rPr>
          <w:rFonts w:ascii="仿宋_GB2312" w:hint="eastAsia"/>
          <w:color w:val="000000" w:themeColor="text1"/>
          <w:spacing w:val="8"/>
          <w:kern w:val="2"/>
          <w:szCs w:val="20"/>
        </w:rPr>
        <w:t>。</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28" w:name="_Toc119230856"/>
      <w:bookmarkEnd w:id="27"/>
      <w:r w:rsidRPr="00D43255">
        <w:rPr>
          <w:rFonts w:hint="eastAsia"/>
        </w:rPr>
        <w:t>液化石油气需求量预测</w:t>
      </w:r>
      <w:bookmarkEnd w:id="28"/>
    </w:p>
    <w:p w:rsidR="006648BB"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结合液化石油气供应站点的治理和天然气管网的农村普及，近期液化石油气需求量有所下降。2</w:t>
      </w:r>
      <w:r w:rsidRPr="00515327">
        <w:rPr>
          <w:rFonts w:ascii="仿宋_GB2312"/>
          <w:spacing w:val="8"/>
          <w:kern w:val="2"/>
          <w:szCs w:val="20"/>
        </w:rPr>
        <w:t>035</w:t>
      </w:r>
      <w:r w:rsidRPr="00515327">
        <w:rPr>
          <w:rFonts w:ascii="仿宋_GB2312" w:hint="eastAsia"/>
          <w:spacing w:val="8"/>
          <w:kern w:val="2"/>
          <w:szCs w:val="20"/>
        </w:rPr>
        <w:t>年考虑工商业用户以及部分农村需求天津市液化石油气总需求量为</w:t>
      </w:r>
      <w:r w:rsidRPr="00515327">
        <w:rPr>
          <w:rFonts w:ascii="仿宋_GB2312"/>
          <w:spacing w:val="8"/>
          <w:kern w:val="2"/>
          <w:szCs w:val="20"/>
        </w:rPr>
        <w:t>3.65</w:t>
      </w:r>
      <w:r w:rsidRPr="00515327">
        <w:rPr>
          <w:rFonts w:ascii="仿宋_GB2312" w:hint="eastAsia"/>
          <w:spacing w:val="8"/>
          <w:kern w:val="2"/>
          <w:szCs w:val="20"/>
        </w:rPr>
        <w:t>万吨。</w:t>
      </w:r>
      <w:bookmarkStart w:id="29" w:name="_Toc119230857"/>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r w:rsidRPr="00875087">
        <w:rPr>
          <w:rFonts w:ascii="宋体" w:hAnsi="宋体" w:hint="eastAsia"/>
          <w:szCs w:val="40"/>
        </w:rPr>
        <w:t>上游气源规划及供需平衡分析</w:t>
      </w:r>
      <w:bookmarkEnd w:id="29"/>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30" w:name="_Toc119230858"/>
      <w:r w:rsidRPr="00D43255">
        <w:rPr>
          <w:rFonts w:hint="eastAsia"/>
        </w:rPr>
        <w:t>天然气气源分析</w:t>
      </w:r>
      <w:bookmarkEnd w:id="30"/>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依托港口城市的资源优势以及所处环渤海经济圈的地理位置，天津市将成为石油天然气长输管道集输的重要枢纽。综合国家油气管网布局规划和天津市的特点，在天津市外围地区规划石油天然气长输管道管廊带，满足国家级干线跨省市联络的需求，在天津市形成“西气东输、北气南下、海气登陆”的天然气管道发展格局。同时，现状管道互联互通工程将陆续开展，并通过分输枢纽集中向天津市输送天然气，实现统筹管理、灵活调度并保障能源供给安全。</w:t>
      </w:r>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考虑天津市天然气消费的发展需求，匹配2</w:t>
      </w:r>
      <w:r w:rsidRPr="00515327">
        <w:rPr>
          <w:rFonts w:ascii="仿宋_GB2312"/>
          <w:spacing w:val="8"/>
          <w:kern w:val="2"/>
          <w:szCs w:val="20"/>
        </w:rPr>
        <w:t>035</w:t>
      </w:r>
      <w:r w:rsidRPr="00515327">
        <w:rPr>
          <w:rFonts w:ascii="仿宋_GB2312" w:hint="eastAsia"/>
          <w:spacing w:val="8"/>
          <w:kern w:val="2"/>
          <w:szCs w:val="20"/>
        </w:rPr>
        <w:t>年全年</w:t>
      </w:r>
      <w:r w:rsidR="00B35B95">
        <w:rPr>
          <w:rFonts w:ascii="仿宋_GB2312"/>
          <w:spacing w:val="8"/>
          <w:kern w:val="2"/>
          <w:szCs w:val="20"/>
        </w:rPr>
        <w:t>1</w:t>
      </w:r>
      <w:r w:rsidRPr="00515327">
        <w:rPr>
          <w:rFonts w:ascii="仿宋_GB2312"/>
          <w:spacing w:val="8"/>
          <w:kern w:val="2"/>
          <w:szCs w:val="20"/>
        </w:rPr>
        <w:t>57</w:t>
      </w:r>
      <w:r w:rsidRPr="00515327">
        <w:rPr>
          <w:rFonts w:ascii="仿宋_GB2312" w:hint="eastAsia"/>
          <w:spacing w:val="8"/>
          <w:kern w:val="2"/>
          <w:szCs w:val="20"/>
        </w:rPr>
        <w:t>亿立方米的天然气需求量，形成国产气、进口气相结合，管道气和</w:t>
      </w:r>
      <w:r w:rsidRPr="00515327">
        <w:rPr>
          <w:rFonts w:ascii="仿宋_GB2312"/>
          <w:spacing w:val="8"/>
          <w:kern w:val="2"/>
          <w:szCs w:val="20"/>
        </w:rPr>
        <w:t>LNG</w:t>
      </w:r>
      <w:r w:rsidRPr="00515327">
        <w:rPr>
          <w:rFonts w:ascii="仿宋_GB2312" w:hint="eastAsia"/>
          <w:spacing w:val="8"/>
          <w:kern w:val="2"/>
          <w:szCs w:val="20"/>
        </w:rPr>
        <w:t>相结合的多气源、多方向供应格局。到2</w:t>
      </w:r>
      <w:r w:rsidRPr="00515327">
        <w:rPr>
          <w:rFonts w:ascii="仿宋_GB2312"/>
          <w:spacing w:val="8"/>
          <w:kern w:val="2"/>
          <w:szCs w:val="20"/>
        </w:rPr>
        <w:t>035</w:t>
      </w:r>
      <w:r w:rsidRPr="00515327">
        <w:rPr>
          <w:rFonts w:ascii="仿宋_GB2312" w:hint="eastAsia"/>
          <w:spacing w:val="8"/>
          <w:kern w:val="2"/>
          <w:szCs w:val="20"/>
        </w:rPr>
        <w:t>年，气源数量至少达到1</w:t>
      </w:r>
      <w:r w:rsidRPr="00515327">
        <w:rPr>
          <w:rFonts w:ascii="仿宋_GB2312"/>
          <w:spacing w:val="8"/>
          <w:kern w:val="2"/>
          <w:szCs w:val="20"/>
        </w:rPr>
        <w:t>6</w:t>
      </w:r>
      <w:r w:rsidRPr="00515327">
        <w:rPr>
          <w:rFonts w:ascii="仿宋_GB2312" w:hint="eastAsia"/>
          <w:spacing w:val="8"/>
          <w:kern w:val="2"/>
          <w:szCs w:val="20"/>
        </w:rPr>
        <w:t>个。</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31" w:name="_Toc119230859"/>
      <w:r w:rsidRPr="00D43255">
        <w:rPr>
          <w:rFonts w:hint="eastAsia"/>
        </w:rPr>
        <w:t>液化石油气气源分析</w:t>
      </w:r>
      <w:bookmarkEnd w:id="31"/>
    </w:p>
    <w:p w:rsidR="006648BB"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天津市依托大港油田、渤海油田等原油资源和石化炼化厂等资源，是液化石油气的生产基地之一，大部分液化石油气通过铁</w:t>
      </w:r>
      <w:r w:rsidRPr="00515327">
        <w:rPr>
          <w:rFonts w:ascii="仿宋_GB2312" w:hint="eastAsia"/>
          <w:spacing w:val="8"/>
          <w:kern w:val="2"/>
          <w:szCs w:val="20"/>
        </w:rPr>
        <w:lastRenderedPageBreak/>
        <w:t>路、公路及油田、码头转运到外省市。因此从天津市液化石油气的供应量及消费情况分析，未来天津市液化石油气的资源是充足的，可以满足市场需求。</w:t>
      </w:r>
      <w:bookmarkStart w:id="32" w:name="_Toc119230860"/>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r w:rsidRPr="00875087">
        <w:rPr>
          <w:rFonts w:ascii="宋体" w:hAnsi="宋体" w:hint="eastAsia"/>
          <w:szCs w:val="40"/>
        </w:rPr>
        <w:t>燃气储气调峰</w:t>
      </w:r>
      <w:bookmarkEnd w:id="32"/>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33" w:name="_Toc119230861"/>
      <w:r w:rsidRPr="00D43255">
        <w:rPr>
          <w:rFonts w:hint="eastAsia"/>
        </w:rPr>
        <w:t>调峰机制</w:t>
      </w:r>
      <w:bookmarkEnd w:id="33"/>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目前我市的调峰主体是</w:t>
      </w:r>
      <w:r w:rsidRPr="00515327">
        <w:rPr>
          <w:rFonts w:ascii="仿宋_GB2312"/>
          <w:spacing w:val="8"/>
          <w:kern w:val="2"/>
          <w:szCs w:val="20"/>
        </w:rPr>
        <w:t>由</w:t>
      </w:r>
      <w:r w:rsidRPr="00515327">
        <w:rPr>
          <w:rFonts w:ascii="仿宋_GB2312" w:hint="eastAsia"/>
          <w:spacing w:val="8"/>
          <w:kern w:val="2"/>
          <w:szCs w:val="20"/>
        </w:rPr>
        <w:t>上游气源企业（中石化、中石油、中海油等企业）、城镇燃气企业和地方政府共同来承担的。上游气源企业承担季节调峰责任和应急责任，城镇燃气企业承担小时调峰责任，地方政府负责协调落实日调峰责任主体，上游气源企业、城镇燃气企业和大用户在天然气购销合同中协商约定日调峰供气责任。</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34" w:name="_Toc119230862"/>
      <w:r w:rsidRPr="00D43255">
        <w:rPr>
          <w:rFonts w:hint="eastAsia"/>
        </w:rPr>
        <w:t>调峰目标</w:t>
      </w:r>
      <w:bookmarkEnd w:id="34"/>
    </w:p>
    <w:p w:rsidR="00D43255" w:rsidRPr="00515327" w:rsidRDefault="00D43255" w:rsidP="00B35B95">
      <w:pPr>
        <w:adjustRightInd w:val="0"/>
        <w:snapToGrid w:val="0"/>
        <w:ind w:firstLine="592"/>
        <w:rPr>
          <w:rFonts w:ascii="仿宋_GB2312"/>
          <w:spacing w:val="8"/>
          <w:kern w:val="2"/>
          <w:szCs w:val="20"/>
        </w:rPr>
      </w:pPr>
      <w:bookmarkStart w:id="35" w:name="_Hlk100138065"/>
      <w:r w:rsidRPr="00515327">
        <w:rPr>
          <w:rFonts w:ascii="仿宋_GB2312" w:hint="eastAsia"/>
          <w:spacing w:val="8"/>
          <w:kern w:val="2"/>
          <w:szCs w:val="20"/>
        </w:rPr>
        <w:t>1、上游气源企业</w:t>
      </w:r>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形成不低于其年合同销售量</w:t>
      </w:r>
      <w:r w:rsidRPr="00515327">
        <w:rPr>
          <w:rFonts w:ascii="仿宋_GB2312"/>
          <w:spacing w:val="8"/>
          <w:kern w:val="2"/>
          <w:szCs w:val="20"/>
        </w:rPr>
        <w:t>10%</w:t>
      </w:r>
      <w:r w:rsidRPr="00515327">
        <w:rPr>
          <w:rFonts w:ascii="仿宋_GB2312" w:hint="eastAsia"/>
          <w:spacing w:val="8"/>
          <w:kern w:val="2"/>
          <w:szCs w:val="20"/>
        </w:rPr>
        <w:t>的储气能力，满足所供应市场的季节（月）调峰以及发生天然气供应中断等应急状况时的用气要求。</w:t>
      </w:r>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2、地方人民政府</w:t>
      </w:r>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形成不低于保障本行政区域日均</w:t>
      </w:r>
      <w:r w:rsidRPr="00515327">
        <w:rPr>
          <w:rFonts w:ascii="仿宋_GB2312"/>
          <w:spacing w:val="8"/>
          <w:kern w:val="2"/>
          <w:szCs w:val="20"/>
        </w:rPr>
        <w:t>3</w:t>
      </w:r>
      <w:r w:rsidRPr="00515327">
        <w:rPr>
          <w:rFonts w:ascii="仿宋_GB2312" w:hint="eastAsia"/>
          <w:spacing w:val="8"/>
          <w:kern w:val="2"/>
          <w:szCs w:val="20"/>
        </w:rPr>
        <w:t>天需求量的储气能力，在发生应急情况时必须最大限度保证与居民生活密切相关的民生用气供应安全可靠。</w:t>
      </w:r>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3、城镇燃气企业</w:t>
      </w:r>
    </w:p>
    <w:p w:rsidR="00D43255" w:rsidRPr="00515327" w:rsidRDefault="00D43255" w:rsidP="00B35B95">
      <w:pPr>
        <w:adjustRightInd w:val="0"/>
        <w:snapToGrid w:val="0"/>
        <w:ind w:firstLine="592"/>
        <w:rPr>
          <w:rFonts w:ascii="仿宋_GB2312"/>
          <w:spacing w:val="8"/>
          <w:kern w:val="2"/>
          <w:szCs w:val="20"/>
        </w:rPr>
      </w:pPr>
      <w:r w:rsidRPr="00515327">
        <w:rPr>
          <w:rFonts w:ascii="仿宋_GB2312" w:hint="eastAsia"/>
          <w:spacing w:val="8"/>
          <w:kern w:val="2"/>
          <w:szCs w:val="20"/>
        </w:rPr>
        <w:t>形成不低于其年用气量</w:t>
      </w:r>
      <w:r w:rsidRPr="00515327">
        <w:rPr>
          <w:rFonts w:ascii="仿宋_GB2312"/>
          <w:spacing w:val="8"/>
          <w:kern w:val="2"/>
          <w:szCs w:val="20"/>
        </w:rPr>
        <w:t>5%</w:t>
      </w:r>
      <w:r w:rsidRPr="00515327">
        <w:rPr>
          <w:rFonts w:ascii="仿宋_GB2312" w:hint="eastAsia"/>
          <w:spacing w:val="8"/>
          <w:kern w:val="2"/>
          <w:szCs w:val="20"/>
        </w:rPr>
        <w:t>的储气能力，落实调峰用户</w:t>
      </w:r>
      <w:r w:rsidR="00C21F4C">
        <w:rPr>
          <w:rFonts w:ascii="仿宋_GB2312" w:hint="eastAsia"/>
          <w:spacing w:val="8"/>
          <w:kern w:val="2"/>
          <w:szCs w:val="20"/>
        </w:rPr>
        <w:t>清</w:t>
      </w:r>
      <w:r w:rsidRPr="00515327">
        <w:rPr>
          <w:rFonts w:ascii="仿宋_GB2312" w:hint="eastAsia"/>
          <w:spacing w:val="8"/>
          <w:kern w:val="2"/>
          <w:szCs w:val="20"/>
        </w:rPr>
        <w:t>单，按期签订调峰协议，确保形成不少于高峰日用气量20%的用户调峰能力。</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36" w:name="_Toc119230864"/>
      <w:bookmarkEnd w:id="35"/>
      <w:r w:rsidRPr="00D43255">
        <w:rPr>
          <w:rFonts w:hint="eastAsia"/>
        </w:rPr>
        <w:lastRenderedPageBreak/>
        <w:t>调峰及应急储备方案</w:t>
      </w:r>
      <w:bookmarkEnd w:id="36"/>
    </w:p>
    <w:p w:rsidR="00D43255" w:rsidRPr="00515327" w:rsidRDefault="00D43255" w:rsidP="00BE3CF7">
      <w:pPr>
        <w:adjustRightInd w:val="0"/>
        <w:snapToGrid w:val="0"/>
        <w:ind w:firstLine="592"/>
        <w:rPr>
          <w:rFonts w:ascii="仿宋_GB2312"/>
          <w:spacing w:val="8"/>
          <w:kern w:val="2"/>
          <w:szCs w:val="20"/>
        </w:rPr>
      </w:pPr>
      <w:r w:rsidRPr="00515327">
        <w:rPr>
          <w:rFonts w:ascii="仿宋_GB2312"/>
          <w:spacing w:val="8"/>
          <w:kern w:val="2"/>
          <w:szCs w:val="20"/>
        </w:rPr>
        <w:t>优先建设地下储气库、沿海液化天然气（LNG）接收站和重点地区规模化LNG储罐</w:t>
      </w:r>
      <w:r w:rsidRPr="00515327">
        <w:rPr>
          <w:rFonts w:ascii="仿宋_GB2312" w:hint="eastAsia"/>
          <w:spacing w:val="8"/>
          <w:kern w:val="2"/>
          <w:szCs w:val="20"/>
        </w:rPr>
        <w:t>。</w:t>
      </w:r>
      <w:r w:rsidRPr="00515327">
        <w:rPr>
          <w:rFonts w:ascii="仿宋_GB2312"/>
          <w:spacing w:val="8"/>
          <w:kern w:val="2"/>
          <w:szCs w:val="20"/>
        </w:rPr>
        <w:t>鼓励现有LNG接收站扩大储罐规模，鼓励合建共用储气设施，形成区域性储气调峰中心。调整并停止储气任务层层分解的操作办法，避免储气设施建设小型化、分散化，从源头上消除安全隐患。</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1、自建大型LNG储气设施</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统筹推进地方大型集中储气设施建设，实现集约化规模化运营，鼓励各类投资主体合资合作建设储气设施，</w:t>
      </w:r>
      <w:r w:rsidRPr="00515327">
        <w:rPr>
          <w:rFonts w:ascii="仿宋_GB2312"/>
          <w:spacing w:val="8"/>
          <w:kern w:val="2"/>
          <w:szCs w:val="20"/>
        </w:rPr>
        <w:t>避免储气设施建设小型化、分散化，从源头上消除安全隐患。</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2、与上游气源企业合作实现储气调峰目标</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政府和城镇燃气企业可通过向上游气源企业购买、签约或租赁调峰储气能力等方式解决。</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spacing w:val="8"/>
          <w:kern w:val="2"/>
          <w:szCs w:val="20"/>
        </w:rPr>
        <w:t>3</w:t>
      </w:r>
      <w:r w:rsidRPr="00515327">
        <w:rPr>
          <w:rFonts w:ascii="仿宋_GB2312" w:hint="eastAsia"/>
          <w:spacing w:val="8"/>
          <w:kern w:val="2"/>
          <w:szCs w:val="20"/>
        </w:rPr>
        <w:t>、配套管网建设</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推动LNG接收站与主干管道间、LNG接收站间管道互联，消除“LNG孤站”和“气源孤岛”。LNG接收站要形成与气化能力相配套的外输管道。</w:t>
      </w:r>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bookmarkStart w:id="37" w:name="_Toc119230865"/>
      <w:r w:rsidRPr="00875087">
        <w:rPr>
          <w:rFonts w:ascii="宋体" w:hAnsi="宋体" w:hint="eastAsia"/>
          <w:szCs w:val="40"/>
        </w:rPr>
        <w:t>输配系统规划</w:t>
      </w:r>
      <w:bookmarkEnd w:id="37"/>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38" w:name="_Toc119230866"/>
      <w:r w:rsidRPr="00D43255">
        <w:rPr>
          <w:rFonts w:hint="eastAsia"/>
        </w:rPr>
        <w:t>天然气接气门站布局</w:t>
      </w:r>
      <w:bookmarkEnd w:id="38"/>
    </w:p>
    <w:p w:rsidR="00D43255" w:rsidRPr="00515327" w:rsidRDefault="00D43255" w:rsidP="00BE3CF7">
      <w:pPr>
        <w:adjustRightInd w:val="0"/>
        <w:snapToGrid w:val="0"/>
        <w:ind w:firstLine="592"/>
        <w:rPr>
          <w:rFonts w:ascii="仿宋_GB2312"/>
          <w:spacing w:val="8"/>
          <w:kern w:val="2"/>
          <w:szCs w:val="20"/>
        </w:rPr>
      </w:pPr>
      <w:r w:rsidRPr="00515327">
        <w:rPr>
          <w:rFonts w:ascii="仿宋_GB2312"/>
          <w:spacing w:val="8"/>
          <w:kern w:val="2"/>
          <w:szCs w:val="20"/>
        </w:rPr>
        <w:t>共设置8</w:t>
      </w:r>
      <w:r w:rsidRPr="00515327">
        <w:rPr>
          <w:rFonts w:ascii="仿宋_GB2312" w:hint="eastAsia"/>
          <w:spacing w:val="8"/>
          <w:kern w:val="2"/>
          <w:szCs w:val="20"/>
        </w:rPr>
        <w:t>座</w:t>
      </w:r>
      <w:r w:rsidRPr="00515327">
        <w:rPr>
          <w:rFonts w:ascii="仿宋_GB2312"/>
          <w:spacing w:val="8"/>
          <w:kern w:val="2"/>
          <w:szCs w:val="20"/>
        </w:rPr>
        <w:t>分输枢纽</w:t>
      </w:r>
      <w:r w:rsidRPr="00515327">
        <w:rPr>
          <w:rFonts w:ascii="仿宋_GB2312" w:hint="eastAsia"/>
          <w:spacing w:val="8"/>
          <w:kern w:val="2"/>
          <w:szCs w:val="20"/>
        </w:rPr>
        <w:t>，分输枢纽集中设置分输站和接气门站，优先采取合建和贴建的方式，最大化节约利用土地资源，每座分输枢纽新增建设用地占地面积不大于4公顷。</w:t>
      </w:r>
      <w:bookmarkStart w:id="39" w:name="_Hlk108704372"/>
      <w:r w:rsidRPr="00515327">
        <w:rPr>
          <w:rFonts w:ascii="仿宋_GB2312" w:hint="eastAsia"/>
          <w:spacing w:val="8"/>
          <w:kern w:val="2"/>
          <w:szCs w:val="20"/>
        </w:rPr>
        <w:t>8座分输枢纽之外的现状分输站周边可根据需要建设接气门站。城镇燃气企业引入上游企业气源只能从现状分输站和规划分输枢纽接气，不得从阀室接气。根据用气需要建设分输站与接气门站之间的连接管线。</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40" w:name="_Toc119230867"/>
      <w:bookmarkEnd w:id="39"/>
      <w:r w:rsidRPr="00D43255">
        <w:rPr>
          <w:rFonts w:hint="eastAsia"/>
        </w:rPr>
        <w:lastRenderedPageBreak/>
        <w:t>调峰储气设施布局</w:t>
      </w:r>
      <w:bookmarkEnd w:id="40"/>
    </w:p>
    <w:p w:rsidR="00D43255" w:rsidRPr="00515327" w:rsidRDefault="00D43255" w:rsidP="00BE3CF7">
      <w:pPr>
        <w:adjustRightInd w:val="0"/>
        <w:snapToGrid w:val="0"/>
        <w:ind w:firstLine="592"/>
        <w:rPr>
          <w:rFonts w:ascii="仿宋_GB2312"/>
          <w:spacing w:val="8"/>
          <w:kern w:val="2"/>
          <w:szCs w:val="20"/>
        </w:rPr>
      </w:pPr>
      <w:r w:rsidRPr="00515327">
        <w:rPr>
          <w:rFonts w:ascii="仿宋_GB2312"/>
          <w:spacing w:val="8"/>
          <w:kern w:val="2"/>
          <w:szCs w:val="20"/>
        </w:rPr>
        <w:t>推动大型LNG储罐</w:t>
      </w:r>
      <w:r w:rsidRPr="00515327">
        <w:rPr>
          <w:rFonts w:ascii="仿宋_GB2312" w:hint="eastAsia"/>
          <w:spacing w:val="8"/>
          <w:kern w:val="2"/>
          <w:szCs w:val="20"/>
        </w:rPr>
        <w:t>（国家管网天津LNG二期项目、中石化天津LNG项目扩建工程二期项目、北京燃气集团天津南港LNG应急储备项目）</w:t>
      </w:r>
      <w:r w:rsidRPr="00515327">
        <w:rPr>
          <w:rFonts w:ascii="仿宋_GB2312"/>
          <w:spacing w:val="8"/>
          <w:kern w:val="2"/>
          <w:szCs w:val="20"/>
        </w:rPr>
        <w:t>及</w:t>
      </w:r>
      <w:r w:rsidRPr="00515327">
        <w:rPr>
          <w:rFonts w:ascii="仿宋_GB2312" w:hint="eastAsia"/>
          <w:spacing w:val="8"/>
          <w:kern w:val="2"/>
          <w:szCs w:val="20"/>
        </w:rPr>
        <w:t>地下储气库工程（板南储气库、大张坨储气库等）</w:t>
      </w:r>
      <w:r w:rsidRPr="00515327">
        <w:rPr>
          <w:rFonts w:ascii="仿宋_GB2312"/>
          <w:spacing w:val="8"/>
          <w:kern w:val="2"/>
          <w:szCs w:val="20"/>
        </w:rPr>
        <w:t>建设，形成</w:t>
      </w:r>
      <w:r w:rsidRPr="00515327">
        <w:rPr>
          <w:rFonts w:ascii="仿宋_GB2312" w:hint="eastAsia"/>
          <w:spacing w:val="8"/>
          <w:kern w:val="2"/>
          <w:szCs w:val="20"/>
        </w:rPr>
        <w:t>与上游气源企业参股</w:t>
      </w:r>
      <w:r w:rsidRPr="00515327">
        <w:rPr>
          <w:rFonts w:ascii="仿宋_GB2312"/>
          <w:spacing w:val="8"/>
          <w:kern w:val="2"/>
          <w:szCs w:val="20"/>
        </w:rPr>
        <w:t>合作开发与自建相结合的储气调峰模式</w:t>
      </w:r>
      <w:r w:rsidR="00AB7798">
        <w:rPr>
          <w:rFonts w:ascii="仿宋_GB2312" w:hint="eastAsia"/>
          <w:spacing w:val="8"/>
          <w:kern w:val="2"/>
          <w:szCs w:val="20"/>
        </w:rPr>
        <w:t>。</w:t>
      </w:r>
    </w:p>
    <w:p w:rsidR="00D43255" w:rsidRPr="00515327" w:rsidRDefault="00D43255" w:rsidP="00BE3CF7">
      <w:pPr>
        <w:adjustRightInd w:val="0"/>
        <w:snapToGrid w:val="0"/>
        <w:ind w:firstLine="592"/>
        <w:rPr>
          <w:rFonts w:ascii="仿宋_GB2312"/>
          <w:spacing w:val="8"/>
          <w:kern w:val="2"/>
          <w:szCs w:val="20"/>
        </w:rPr>
      </w:pPr>
      <w:bookmarkStart w:id="41" w:name="_Hlk108768265"/>
      <w:r w:rsidRPr="00515327">
        <w:rPr>
          <w:rFonts w:ascii="仿宋_GB2312" w:hint="eastAsia"/>
          <w:spacing w:val="8"/>
          <w:kern w:val="2"/>
          <w:szCs w:val="20"/>
        </w:rPr>
        <w:t>现状小型或区域型调峰储配站近期保留，远期随设施老化或功能改变等逐步淘汰，规划不再新增小型</w:t>
      </w:r>
      <w:r w:rsidR="00330F33">
        <w:rPr>
          <w:rFonts w:ascii="仿宋_GB2312" w:hint="eastAsia"/>
          <w:spacing w:val="8"/>
          <w:kern w:val="2"/>
          <w:szCs w:val="20"/>
        </w:rPr>
        <w:t>化、分散化</w:t>
      </w:r>
      <w:r w:rsidRPr="00515327">
        <w:rPr>
          <w:rFonts w:ascii="仿宋_GB2312" w:hint="eastAsia"/>
          <w:spacing w:val="8"/>
          <w:kern w:val="2"/>
          <w:szCs w:val="20"/>
        </w:rPr>
        <w:t>调峰储配站。</w:t>
      </w:r>
      <w:bookmarkEnd w:id="41"/>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42" w:name="_Toc119230868"/>
      <w:r w:rsidRPr="00D43255">
        <w:rPr>
          <w:rFonts w:hint="eastAsia"/>
        </w:rPr>
        <w:t>燃气管网压力级制</w:t>
      </w:r>
      <w:bookmarkEnd w:id="42"/>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天津市天然气高压管网压力级制为高压4.0MPa、2.5MPa两级管网系统，同时确定次高压1</w:t>
      </w:r>
      <w:r w:rsidRPr="00515327">
        <w:rPr>
          <w:rFonts w:ascii="仿宋_GB2312"/>
          <w:spacing w:val="8"/>
          <w:kern w:val="2"/>
          <w:szCs w:val="20"/>
        </w:rPr>
        <w:t>.6</w:t>
      </w:r>
      <w:r w:rsidRPr="00515327">
        <w:rPr>
          <w:rFonts w:ascii="仿宋_GB2312" w:hint="eastAsia"/>
          <w:spacing w:val="8"/>
          <w:kern w:val="2"/>
          <w:szCs w:val="20"/>
        </w:rPr>
        <w:t>MPa、0</w:t>
      </w:r>
      <w:r w:rsidRPr="00515327">
        <w:rPr>
          <w:rFonts w:ascii="仿宋_GB2312"/>
          <w:spacing w:val="8"/>
          <w:kern w:val="2"/>
          <w:szCs w:val="20"/>
        </w:rPr>
        <w:t>.8</w:t>
      </w:r>
      <w:r w:rsidRPr="00515327">
        <w:rPr>
          <w:rFonts w:ascii="仿宋_GB2312" w:hint="eastAsia"/>
          <w:spacing w:val="8"/>
          <w:kern w:val="2"/>
          <w:szCs w:val="20"/>
        </w:rPr>
        <w:t>MPa、中压0</w:t>
      </w:r>
      <w:r w:rsidRPr="00515327">
        <w:rPr>
          <w:rFonts w:ascii="仿宋_GB2312"/>
          <w:spacing w:val="8"/>
          <w:kern w:val="2"/>
          <w:szCs w:val="20"/>
        </w:rPr>
        <w:t>.4</w:t>
      </w:r>
      <w:r w:rsidRPr="00515327">
        <w:rPr>
          <w:rFonts w:ascii="仿宋_GB2312" w:hint="eastAsia"/>
          <w:spacing w:val="8"/>
          <w:kern w:val="2"/>
          <w:szCs w:val="20"/>
        </w:rPr>
        <w:t>MPa、低压四级管网系统根据不同区域进行布局。天津市</w:t>
      </w:r>
      <w:r w:rsidR="00FF10D4" w:rsidRPr="00515327">
        <w:rPr>
          <w:rFonts w:ascii="仿宋_GB2312" w:hint="eastAsia"/>
          <w:spacing w:val="8"/>
          <w:kern w:val="2"/>
          <w:szCs w:val="20"/>
        </w:rPr>
        <w:t>未来根据调峰和输配系统发展需求可建设超高压城镇燃气管线</w:t>
      </w:r>
      <w:r w:rsidRPr="00515327">
        <w:rPr>
          <w:rFonts w:ascii="仿宋_GB2312" w:hint="eastAsia"/>
          <w:spacing w:val="8"/>
          <w:kern w:val="2"/>
          <w:szCs w:val="20"/>
        </w:rPr>
        <w:t>。</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43" w:name="_Toc119230869"/>
      <w:r w:rsidRPr="00D43255">
        <w:rPr>
          <w:rFonts w:hint="eastAsia"/>
        </w:rPr>
        <w:t>燃气管网总体布局</w:t>
      </w:r>
      <w:bookmarkEnd w:id="43"/>
    </w:p>
    <w:p w:rsidR="00BE3CF7" w:rsidRPr="00664A98" w:rsidRDefault="00BE3CF7" w:rsidP="00BE3CF7">
      <w:pPr>
        <w:adjustRightInd w:val="0"/>
        <w:snapToGrid w:val="0"/>
        <w:ind w:firstLine="592"/>
        <w:rPr>
          <w:rFonts w:ascii="仿宋_GB2312"/>
          <w:color w:val="000000" w:themeColor="text1"/>
          <w:spacing w:val="8"/>
          <w:kern w:val="2"/>
          <w:szCs w:val="20"/>
        </w:rPr>
      </w:pPr>
      <w:bookmarkStart w:id="44" w:name="_Hlk100138376"/>
      <w:r w:rsidRPr="00BE3CF7">
        <w:rPr>
          <w:rFonts w:ascii="仿宋_GB2312" w:hint="eastAsia"/>
          <w:spacing w:val="8"/>
          <w:kern w:val="2"/>
          <w:szCs w:val="20"/>
        </w:rPr>
        <w:t>本次规划以“X+1+X”模式建设高压一张网（第一个X指上游多气源，1指高压一张网，第二个X指下游多家燃气企业）。近期，一张网的建设管理可由多家燃气企业共同完成，但各企业的管网应进行互联互通，实现灵活调度，保障供气安全。远期，逐步实现高压一张网的统筹建设管理。</w:t>
      </w:r>
      <w:bookmarkEnd w:id="44"/>
      <w:r w:rsidRPr="00664A98">
        <w:rPr>
          <w:rFonts w:ascii="仿宋_GB2312" w:hint="eastAsia"/>
          <w:color w:val="000000" w:themeColor="text1"/>
          <w:spacing w:val="8"/>
          <w:kern w:val="2"/>
          <w:szCs w:val="20"/>
        </w:rPr>
        <w:t>在全市域范围内，根据分输枢纽布局并结合现状高压管线位置，规划天津市高压一张网,并满足以下规划原则：</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（1）高压一张网设计压力以4.0MPa为主、2.5MPa为辅，管径为DN800-1000。</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（2）尽量利用现状高压管线形成高压一张网，若现状管线管径较小或压力等级不足可以按规划进行扩建。</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（3）燃气电厂采用4.0MPa高压支线接入，工业园区等燃气大</w:t>
      </w:r>
      <w:r w:rsidRPr="00664A98">
        <w:rPr>
          <w:rFonts w:ascii="仿宋_GB2312" w:hint="eastAsia"/>
          <w:color w:val="000000" w:themeColor="text1"/>
          <w:spacing w:val="8"/>
          <w:kern w:val="2"/>
          <w:szCs w:val="20"/>
        </w:rPr>
        <w:lastRenderedPageBreak/>
        <w:t>用户</w:t>
      </w:r>
      <w:bookmarkStart w:id="45" w:name="_Hlk156133550"/>
      <w:r w:rsidRPr="00664A98">
        <w:rPr>
          <w:rFonts w:ascii="仿宋_GB2312" w:hint="eastAsia"/>
          <w:color w:val="000000" w:themeColor="text1"/>
          <w:spacing w:val="8"/>
          <w:kern w:val="2"/>
          <w:szCs w:val="20"/>
        </w:rPr>
        <w:t>宜</w:t>
      </w:r>
      <w:bookmarkEnd w:id="45"/>
      <w:r w:rsidRPr="00664A98">
        <w:rPr>
          <w:rFonts w:ascii="仿宋_GB2312" w:hint="eastAsia"/>
          <w:color w:val="000000" w:themeColor="text1"/>
          <w:spacing w:val="8"/>
          <w:kern w:val="2"/>
          <w:szCs w:val="20"/>
        </w:rPr>
        <w:t>采用2.5MPa高压支线或次高压管线接入，非燃气大用户区域采用次高压或中压管线接入。</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（4）现状散乱或重路由的高压管线近期保留，远期结合地区发展需要逐步降压运行或废除。</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（5）现状高压管线改造时应根据燃气专项规划的要求，结合国土空间规划确定合理的改造方案，保证安全并与城镇发展相协调。</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（6）上游气源企业通过国家管网集团的管道给天津市供气必须接入天津市高压一张网，城燃企业通过高压一张网向下游用户供气。</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w:t>
      </w:r>
      <w:r w:rsidRPr="00664A98">
        <w:rPr>
          <w:rFonts w:ascii="仿宋_GB2312"/>
          <w:color w:val="000000" w:themeColor="text1"/>
          <w:spacing w:val="8"/>
          <w:kern w:val="2"/>
          <w:szCs w:val="20"/>
        </w:rPr>
        <w:t>7</w:t>
      </w:r>
      <w:r w:rsidRPr="00664A98">
        <w:rPr>
          <w:rFonts w:ascii="仿宋_GB2312" w:hint="eastAsia"/>
          <w:color w:val="000000" w:themeColor="text1"/>
          <w:spacing w:val="8"/>
          <w:kern w:val="2"/>
          <w:szCs w:val="20"/>
        </w:rPr>
        <w:t>）为促进天津市高压一张网建设发展，各城燃企业现状及规划高压管网需进行互联互通。</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为充分发挥市级燃气专项规划的上位指导作用，区级燃气专项规划在编制过程中以及燃气项目实施过程中需满足以下原则：</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w:t>
      </w:r>
      <w:r w:rsidRPr="00664A98">
        <w:rPr>
          <w:rFonts w:ascii="仿宋_GB2312"/>
          <w:color w:val="000000" w:themeColor="text1"/>
          <w:spacing w:val="8"/>
          <w:kern w:val="2"/>
          <w:szCs w:val="20"/>
        </w:rPr>
        <w:t>1</w:t>
      </w:r>
      <w:r w:rsidRPr="00664A98">
        <w:rPr>
          <w:rFonts w:ascii="仿宋_GB2312" w:hint="eastAsia"/>
          <w:color w:val="000000" w:themeColor="text1"/>
          <w:spacing w:val="8"/>
          <w:kern w:val="2"/>
          <w:szCs w:val="20"/>
        </w:rPr>
        <w:t>）区级专项规划应落实市级专项规划的内容，市级专项规划中确定管线和场站设施应在区级专项规划中明确相对准确的位置。区级专项规划不得规划新增4</w:t>
      </w:r>
      <w:r w:rsidRPr="00664A98">
        <w:rPr>
          <w:rFonts w:ascii="仿宋_GB2312"/>
          <w:color w:val="000000" w:themeColor="text1"/>
          <w:spacing w:val="8"/>
          <w:kern w:val="2"/>
          <w:szCs w:val="20"/>
        </w:rPr>
        <w:t>.0</w:t>
      </w:r>
      <w:r w:rsidRPr="00664A98">
        <w:rPr>
          <w:rFonts w:ascii="仿宋_GB2312" w:hint="eastAsia"/>
          <w:color w:val="000000" w:themeColor="text1"/>
          <w:spacing w:val="8"/>
          <w:kern w:val="2"/>
          <w:szCs w:val="20"/>
        </w:rPr>
        <w:t>MPa高压管线（燃气电厂接入管线除外），不得调整市级专项规划确定的4</w:t>
      </w:r>
      <w:r w:rsidRPr="00664A98">
        <w:rPr>
          <w:rFonts w:ascii="仿宋_GB2312"/>
          <w:color w:val="000000" w:themeColor="text1"/>
          <w:spacing w:val="8"/>
          <w:kern w:val="2"/>
          <w:szCs w:val="20"/>
        </w:rPr>
        <w:t>.0</w:t>
      </w:r>
      <w:r w:rsidRPr="00664A98">
        <w:rPr>
          <w:rFonts w:ascii="仿宋_GB2312" w:hint="eastAsia"/>
          <w:color w:val="000000" w:themeColor="text1"/>
          <w:spacing w:val="8"/>
          <w:kern w:val="2"/>
          <w:szCs w:val="20"/>
        </w:rPr>
        <w:t>MPa高压管线及沿线的高调站；根据各区发展情况布局2</w:t>
      </w:r>
      <w:r w:rsidRPr="00664A98">
        <w:rPr>
          <w:rFonts w:ascii="仿宋_GB2312"/>
          <w:color w:val="000000" w:themeColor="text1"/>
          <w:spacing w:val="8"/>
          <w:kern w:val="2"/>
          <w:szCs w:val="20"/>
        </w:rPr>
        <w:t>.5</w:t>
      </w:r>
      <w:r w:rsidRPr="00664A98">
        <w:rPr>
          <w:rFonts w:ascii="仿宋_GB2312" w:hint="eastAsia"/>
          <w:color w:val="000000" w:themeColor="text1"/>
          <w:spacing w:val="8"/>
          <w:kern w:val="2"/>
          <w:szCs w:val="20"/>
        </w:rPr>
        <w:t>MPa高压管网，布局方案需征得市级燃气行业管理部门的同意；区级专项规划重点研究并确定次高压及中压管网布局方案。</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w:t>
      </w:r>
      <w:r w:rsidRPr="00664A98">
        <w:rPr>
          <w:rFonts w:ascii="仿宋_GB2312"/>
          <w:color w:val="000000" w:themeColor="text1"/>
          <w:spacing w:val="8"/>
          <w:kern w:val="2"/>
          <w:szCs w:val="20"/>
        </w:rPr>
        <w:t>2</w:t>
      </w:r>
      <w:r w:rsidRPr="00664A98">
        <w:rPr>
          <w:rFonts w:ascii="仿宋_GB2312" w:hint="eastAsia"/>
          <w:color w:val="000000" w:themeColor="text1"/>
          <w:spacing w:val="8"/>
          <w:kern w:val="2"/>
          <w:szCs w:val="20"/>
        </w:rPr>
        <w:t>）严格落实全市高压一张网布局方案。燃气电厂根据实际情况应优先利用现状高压管道接入或结合高压一张网建设4.0MPa高压支线接入。工业园区等燃气大用户根据实际情况可在高压一张网引出2.5MPa高压支线或次高压管线接入。中压燃气管线</w:t>
      </w:r>
      <w:r w:rsidRPr="00664A98">
        <w:rPr>
          <w:rFonts w:ascii="仿宋_GB2312" w:hint="eastAsia"/>
          <w:color w:val="000000" w:themeColor="text1"/>
          <w:spacing w:val="8"/>
          <w:kern w:val="2"/>
          <w:szCs w:val="20"/>
        </w:rPr>
        <w:lastRenderedPageBreak/>
        <w:t>（0</w:t>
      </w:r>
      <w:r w:rsidRPr="00664A98">
        <w:rPr>
          <w:rFonts w:ascii="仿宋_GB2312"/>
          <w:color w:val="000000" w:themeColor="text1"/>
          <w:spacing w:val="8"/>
          <w:kern w:val="2"/>
          <w:szCs w:val="20"/>
        </w:rPr>
        <w:t>.4</w:t>
      </w:r>
      <w:r w:rsidRPr="00664A98">
        <w:rPr>
          <w:rFonts w:ascii="仿宋_GB2312" w:hint="eastAsia"/>
          <w:color w:val="000000" w:themeColor="text1"/>
          <w:spacing w:val="8"/>
          <w:kern w:val="2"/>
          <w:szCs w:val="20"/>
        </w:rPr>
        <w:t>MPa）主要随市政道路建设，应与道路交通、景观绿化等规划相协调，满足城市用地开发和城市基础设施建设发展需要；低压燃气管线不应在市政道路上顺行敷设。</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w:t>
      </w:r>
      <w:r w:rsidRPr="00664A98">
        <w:rPr>
          <w:rFonts w:ascii="仿宋_GB2312"/>
          <w:color w:val="000000" w:themeColor="text1"/>
          <w:spacing w:val="8"/>
          <w:kern w:val="2"/>
          <w:szCs w:val="20"/>
        </w:rPr>
        <w:t>3</w:t>
      </w:r>
      <w:r w:rsidRPr="00664A98">
        <w:rPr>
          <w:rFonts w:ascii="仿宋_GB2312" w:hint="eastAsia"/>
          <w:color w:val="000000" w:themeColor="text1"/>
          <w:spacing w:val="8"/>
          <w:kern w:val="2"/>
          <w:szCs w:val="20"/>
        </w:rPr>
        <w:t>）区内各类用户用气只能从天津市高压一张网上接气，接气点应从市级专项规划中高压一张网上确定的调压站或带调压功能的门站接入，不得接自分输站、阀室等。</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w:t>
      </w:r>
      <w:r w:rsidRPr="00664A98">
        <w:rPr>
          <w:rFonts w:ascii="仿宋_GB2312"/>
          <w:color w:val="000000" w:themeColor="text1"/>
          <w:spacing w:val="8"/>
          <w:kern w:val="2"/>
          <w:szCs w:val="20"/>
        </w:rPr>
        <w:t>4</w:t>
      </w:r>
      <w:r w:rsidRPr="00664A98">
        <w:rPr>
          <w:rFonts w:ascii="仿宋_GB2312" w:hint="eastAsia"/>
          <w:color w:val="000000" w:themeColor="text1"/>
          <w:spacing w:val="8"/>
          <w:kern w:val="2"/>
          <w:szCs w:val="20"/>
        </w:rPr>
        <w:t>）区内规划次高压和中压干线管网应成环成网保证供气安全，部分管线路由可优先利用未列为高压一张网的现状高压管线，降压后成为区内次高压或中压干线管网。</w:t>
      </w:r>
    </w:p>
    <w:p w:rsidR="00D43255" w:rsidRPr="00664A98" w:rsidRDefault="00BE3CF7" w:rsidP="00BE3CF7">
      <w:pPr>
        <w:adjustRightInd w:val="0"/>
        <w:snapToGrid w:val="0"/>
        <w:ind w:firstLine="592"/>
        <w:rPr>
          <w:rFonts w:ascii="仿宋_GB2312"/>
          <w:color w:val="000000" w:themeColor="text1"/>
          <w:spacing w:val="8"/>
          <w:kern w:val="2"/>
          <w:szCs w:val="20"/>
        </w:rPr>
      </w:pPr>
      <w:bookmarkStart w:id="46" w:name="_Hlk104046553"/>
      <w:r w:rsidRPr="00664A98">
        <w:rPr>
          <w:rFonts w:ascii="仿宋_GB2312" w:hint="eastAsia"/>
          <w:color w:val="000000" w:themeColor="text1"/>
          <w:spacing w:val="8"/>
          <w:kern w:val="2"/>
          <w:szCs w:val="20"/>
        </w:rPr>
        <w:t>（5）</w:t>
      </w:r>
      <w:bookmarkStart w:id="47" w:name="_Hlk157330692"/>
      <w:bookmarkEnd w:id="46"/>
      <w:r w:rsidRPr="00664A98">
        <w:rPr>
          <w:rFonts w:ascii="仿宋_GB2312"/>
          <w:color w:val="000000" w:themeColor="text1"/>
          <w:spacing w:val="8"/>
          <w:kern w:val="2"/>
          <w:szCs w:val="20"/>
        </w:rPr>
        <w:t>燃气管网项目建设过程中，应结合综合管廊建设情况，</w:t>
      </w:r>
      <w:r w:rsidRPr="00664A98">
        <w:rPr>
          <w:rFonts w:ascii="仿宋_GB2312" w:hint="eastAsia"/>
          <w:color w:val="000000" w:themeColor="text1"/>
          <w:spacing w:val="8"/>
          <w:kern w:val="2"/>
          <w:szCs w:val="20"/>
        </w:rPr>
        <w:t>根据具体项目分析燃气管线入廊的安全性和可行性，</w:t>
      </w:r>
      <w:r w:rsidRPr="00664A98">
        <w:rPr>
          <w:rFonts w:ascii="仿宋_GB2312"/>
          <w:color w:val="000000" w:themeColor="text1"/>
          <w:spacing w:val="8"/>
          <w:kern w:val="2"/>
          <w:szCs w:val="20"/>
        </w:rPr>
        <w:t>确保</w:t>
      </w:r>
      <w:r w:rsidRPr="00664A98">
        <w:rPr>
          <w:rFonts w:ascii="仿宋_GB2312" w:hint="eastAsia"/>
          <w:color w:val="000000" w:themeColor="text1"/>
          <w:spacing w:val="8"/>
          <w:kern w:val="2"/>
          <w:szCs w:val="20"/>
        </w:rPr>
        <w:t>能够</w:t>
      </w:r>
      <w:r w:rsidRPr="00664A98">
        <w:rPr>
          <w:rFonts w:ascii="仿宋_GB2312"/>
          <w:color w:val="000000" w:themeColor="text1"/>
          <w:spacing w:val="8"/>
          <w:kern w:val="2"/>
          <w:szCs w:val="20"/>
        </w:rPr>
        <w:t>入廊的燃气管线入廊</w:t>
      </w:r>
      <w:r w:rsidRPr="00664A98">
        <w:rPr>
          <w:rFonts w:ascii="仿宋_GB2312" w:hint="eastAsia"/>
          <w:color w:val="000000" w:themeColor="text1"/>
          <w:spacing w:val="8"/>
          <w:kern w:val="2"/>
          <w:szCs w:val="20"/>
        </w:rPr>
        <w:t>建设</w:t>
      </w:r>
      <w:r w:rsidRPr="00664A98">
        <w:rPr>
          <w:rFonts w:ascii="仿宋_GB2312"/>
          <w:color w:val="000000" w:themeColor="text1"/>
          <w:spacing w:val="8"/>
          <w:kern w:val="2"/>
          <w:szCs w:val="20"/>
        </w:rPr>
        <w:t>。</w:t>
      </w:r>
      <w:bookmarkEnd w:id="47"/>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48" w:name="_Toc119230870"/>
      <w:r w:rsidRPr="00D43255">
        <w:rPr>
          <w:rFonts w:hint="eastAsia"/>
        </w:rPr>
        <w:t>调压站布局</w:t>
      </w:r>
      <w:bookmarkEnd w:id="48"/>
    </w:p>
    <w:p w:rsidR="00BE3CF7" w:rsidRPr="00BE3CF7" w:rsidRDefault="00BE3CF7" w:rsidP="00BE3CF7">
      <w:pPr>
        <w:adjustRightInd w:val="0"/>
        <w:snapToGrid w:val="0"/>
        <w:ind w:firstLine="592"/>
        <w:rPr>
          <w:rFonts w:ascii="仿宋_GB2312"/>
          <w:spacing w:val="8"/>
          <w:kern w:val="2"/>
          <w:szCs w:val="20"/>
        </w:rPr>
      </w:pPr>
      <w:r w:rsidRPr="00BE3CF7">
        <w:rPr>
          <w:rFonts w:ascii="仿宋_GB2312" w:hint="eastAsia"/>
          <w:spacing w:val="8"/>
          <w:kern w:val="2"/>
          <w:szCs w:val="20"/>
        </w:rPr>
        <w:t>在高压干线交汇处建设高-高压调压站，占地面积约5000平方米/座。若高压干线管网交汇处设置接气门站，宜结合接气门站设置高-高压调压站。不同城燃企业的高压管线交汇处可根据需要建设高-高压调压站，实现灵活调度，互联互通。</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在高压一张网沿线设置高-高压调压站（4</w:t>
      </w:r>
      <w:r w:rsidRPr="00664A98">
        <w:rPr>
          <w:rFonts w:ascii="仿宋_GB2312"/>
          <w:color w:val="000000" w:themeColor="text1"/>
          <w:spacing w:val="8"/>
          <w:kern w:val="2"/>
          <w:szCs w:val="20"/>
        </w:rPr>
        <w:t>.0</w:t>
      </w:r>
      <w:r w:rsidRPr="00664A98">
        <w:rPr>
          <w:rFonts w:ascii="仿宋_GB2312" w:hint="eastAsia"/>
          <w:color w:val="000000" w:themeColor="text1"/>
          <w:spacing w:val="8"/>
          <w:kern w:val="2"/>
          <w:szCs w:val="20"/>
        </w:rPr>
        <w:t>MPa调压至</w:t>
      </w:r>
      <w:r w:rsidRPr="00664A98">
        <w:rPr>
          <w:rFonts w:ascii="仿宋_GB2312"/>
          <w:color w:val="000000" w:themeColor="text1"/>
          <w:spacing w:val="8"/>
          <w:kern w:val="2"/>
          <w:szCs w:val="20"/>
        </w:rPr>
        <w:t>2.5</w:t>
      </w:r>
      <w:r w:rsidRPr="00664A98">
        <w:rPr>
          <w:rFonts w:ascii="仿宋_GB2312" w:hint="eastAsia"/>
          <w:color w:val="000000" w:themeColor="text1"/>
          <w:spacing w:val="8"/>
          <w:kern w:val="2"/>
          <w:szCs w:val="20"/>
        </w:rPr>
        <w:t>MPa）、高-次高压调压站（4</w:t>
      </w:r>
      <w:r w:rsidRPr="00664A98">
        <w:rPr>
          <w:rFonts w:ascii="仿宋_GB2312"/>
          <w:color w:val="000000" w:themeColor="text1"/>
          <w:spacing w:val="8"/>
          <w:kern w:val="2"/>
          <w:szCs w:val="20"/>
        </w:rPr>
        <w:t>.0</w:t>
      </w:r>
      <w:r w:rsidRPr="00664A98">
        <w:rPr>
          <w:rFonts w:ascii="仿宋_GB2312" w:hint="eastAsia"/>
          <w:color w:val="000000" w:themeColor="text1"/>
          <w:spacing w:val="8"/>
          <w:kern w:val="2"/>
          <w:szCs w:val="20"/>
        </w:rPr>
        <w:t>MPa调压至</w:t>
      </w:r>
      <w:r w:rsidRPr="00664A98">
        <w:rPr>
          <w:rFonts w:ascii="仿宋_GB2312"/>
          <w:color w:val="000000" w:themeColor="text1"/>
          <w:spacing w:val="8"/>
          <w:kern w:val="2"/>
          <w:szCs w:val="20"/>
        </w:rPr>
        <w:t>1.6</w:t>
      </w:r>
      <w:r w:rsidRPr="00664A98">
        <w:rPr>
          <w:rFonts w:ascii="仿宋_GB2312" w:hint="eastAsia"/>
          <w:color w:val="000000" w:themeColor="text1"/>
          <w:spacing w:val="8"/>
          <w:kern w:val="2"/>
          <w:szCs w:val="20"/>
        </w:rPr>
        <w:t>MPa或0</w:t>
      </w:r>
      <w:r w:rsidRPr="00664A98">
        <w:rPr>
          <w:rFonts w:ascii="仿宋_GB2312"/>
          <w:color w:val="000000" w:themeColor="text1"/>
          <w:spacing w:val="8"/>
          <w:kern w:val="2"/>
          <w:szCs w:val="20"/>
        </w:rPr>
        <w:t>.8</w:t>
      </w:r>
      <w:r w:rsidRPr="00664A98">
        <w:rPr>
          <w:rFonts w:ascii="仿宋_GB2312" w:hint="eastAsia"/>
          <w:color w:val="000000" w:themeColor="text1"/>
          <w:spacing w:val="8"/>
          <w:kern w:val="2"/>
          <w:szCs w:val="20"/>
        </w:rPr>
        <w:t>MPa），区内各类用户用气只能从本次规划高压一张网上确定的调压站或带调压功能的门站逐级调压接入，不得接自分输站、阀室等。</w:t>
      </w:r>
    </w:p>
    <w:p w:rsidR="00BE3CF7" w:rsidRPr="00664A98" w:rsidRDefault="00BE3CF7" w:rsidP="00BE3CF7">
      <w:pPr>
        <w:adjustRightInd w:val="0"/>
        <w:snapToGrid w:val="0"/>
        <w:ind w:firstLine="592"/>
        <w:rPr>
          <w:rFonts w:ascii="仿宋_GB2312"/>
          <w:color w:val="000000" w:themeColor="text1"/>
          <w:spacing w:val="8"/>
          <w:kern w:val="2"/>
          <w:szCs w:val="20"/>
        </w:rPr>
      </w:pPr>
      <w:r w:rsidRPr="00664A98">
        <w:rPr>
          <w:rFonts w:ascii="仿宋_GB2312" w:hint="eastAsia"/>
          <w:color w:val="000000" w:themeColor="text1"/>
          <w:spacing w:val="8"/>
          <w:kern w:val="2"/>
          <w:szCs w:val="20"/>
        </w:rPr>
        <w:t>结合天津市国土空间总体规划城镇体系，津城、滨城、各区域性节点城市以及特色功能组团的区域调压站需结合区级国土空间规划进行落位。</w:t>
      </w:r>
    </w:p>
    <w:p w:rsidR="00D43255" w:rsidRPr="00515327" w:rsidRDefault="00BE3CF7" w:rsidP="00BE3CF7">
      <w:pPr>
        <w:adjustRightInd w:val="0"/>
        <w:snapToGrid w:val="0"/>
        <w:ind w:firstLine="592"/>
        <w:rPr>
          <w:rFonts w:ascii="仿宋_GB2312"/>
          <w:spacing w:val="8"/>
          <w:kern w:val="2"/>
          <w:szCs w:val="20"/>
        </w:rPr>
      </w:pPr>
      <w:r w:rsidRPr="00BE3CF7">
        <w:rPr>
          <w:rFonts w:ascii="仿宋_GB2312" w:hint="eastAsia"/>
          <w:spacing w:val="8"/>
          <w:kern w:val="2"/>
          <w:szCs w:val="20"/>
        </w:rPr>
        <w:t>燃气大用户如大型工业用户、锅炉房、电厂等可根据需要自</w:t>
      </w:r>
      <w:r w:rsidRPr="00BE3CF7">
        <w:rPr>
          <w:rFonts w:ascii="仿宋_GB2312" w:hint="eastAsia"/>
          <w:spacing w:val="8"/>
          <w:kern w:val="2"/>
          <w:szCs w:val="20"/>
        </w:rPr>
        <w:lastRenderedPageBreak/>
        <w:t>行设置专供调压站（箱），服务范围仅限于该燃气大用户。</w:t>
      </w:r>
      <w:bookmarkStart w:id="49" w:name="_Hlk107501947"/>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50" w:name="_Toc119230871"/>
      <w:bookmarkEnd w:id="49"/>
      <w:r w:rsidRPr="00D43255">
        <w:rPr>
          <w:rFonts w:hint="eastAsia"/>
        </w:rPr>
        <w:t>区域供气设施布局</w:t>
      </w:r>
      <w:bookmarkEnd w:id="50"/>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天津市天然气供应以管道气为主，区域供气设施可作为临时过渡，山区等管道气无法</w:t>
      </w:r>
      <w:r w:rsidR="00330F33">
        <w:rPr>
          <w:rFonts w:ascii="仿宋_GB2312" w:hint="eastAsia"/>
          <w:spacing w:val="8"/>
          <w:kern w:val="2"/>
          <w:szCs w:val="20"/>
        </w:rPr>
        <w:t>覆盖</w:t>
      </w:r>
      <w:r w:rsidRPr="00515327">
        <w:rPr>
          <w:rFonts w:ascii="仿宋_GB2312" w:hint="eastAsia"/>
          <w:spacing w:val="8"/>
          <w:kern w:val="2"/>
          <w:szCs w:val="20"/>
        </w:rPr>
        <w:t>的区域根据需要</w:t>
      </w:r>
      <w:r w:rsidR="00330F33">
        <w:rPr>
          <w:rFonts w:ascii="仿宋_GB2312" w:hint="eastAsia"/>
          <w:spacing w:val="8"/>
          <w:kern w:val="2"/>
          <w:szCs w:val="20"/>
        </w:rPr>
        <w:t>可</w:t>
      </w:r>
      <w:r w:rsidRPr="00515327">
        <w:rPr>
          <w:rFonts w:ascii="仿宋_GB2312" w:hint="eastAsia"/>
          <w:spacing w:val="8"/>
          <w:kern w:val="2"/>
          <w:szCs w:val="20"/>
        </w:rPr>
        <w:t>规划设置区域供气设施，其他地区现状区域供气设施逐步淘汰，以管道气形式替代，原则上不再规划新建区域供气设施。</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51" w:name="_Toc119230872"/>
      <w:r w:rsidRPr="00D43255">
        <w:rPr>
          <w:rFonts w:hint="eastAsia"/>
        </w:rPr>
        <w:t>燃气系统配套设施布局</w:t>
      </w:r>
      <w:bookmarkEnd w:id="51"/>
    </w:p>
    <w:p w:rsidR="00D43255" w:rsidRPr="00515327" w:rsidRDefault="00D43255" w:rsidP="00BE3CF7">
      <w:pPr>
        <w:adjustRightInd w:val="0"/>
        <w:snapToGrid w:val="0"/>
        <w:ind w:firstLine="592"/>
        <w:rPr>
          <w:rFonts w:ascii="仿宋_GB2312"/>
          <w:spacing w:val="8"/>
          <w:kern w:val="2"/>
          <w:szCs w:val="20"/>
        </w:rPr>
      </w:pPr>
      <w:bookmarkStart w:id="52" w:name="_Hlk101429633"/>
      <w:r w:rsidRPr="00515327">
        <w:rPr>
          <w:rFonts w:ascii="仿宋_GB2312" w:hint="eastAsia"/>
          <w:spacing w:val="8"/>
          <w:kern w:val="2"/>
          <w:szCs w:val="20"/>
        </w:rPr>
        <w:t>规划高压管网维护抢修站结合接气门站和高压干线交汇处的高-高压调压站建设，占地面积5000平方米/座；中低压燃气维护抢修站在津城、滨城、</w:t>
      </w:r>
      <w:r w:rsidR="00312AD2">
        <w:rPr>
          <w:rFonts w:ascii="仿宋_GB2312" w:hint="eastAsia"/>
          <w:spacing w:val="8"/>
          <w:kern w:val="2"/>
          <w:szCs w:val="20"/>
        </w:rPr>
        <w:t>各</w:t>
      </w:r>
      <w:r w:rsidRPr="00515327">
        <w:rPr>
          <w:rFonts w:ascii="仿宋_GB2312" w:hint="eastAsia"/>
          <w:spacing w:val="8"/>
          <w:kern w:val="2"/>
          <w:szCs w:val="20"/>
        </w:rPr>
        <w:t>区域性节点城市和特色功能组团范围内按每座服务半径</w:t>
      </w:r>
      <w:r w:rsidRPr="00515327">
        <w:rPr>
          <w:rFonts w:ascii="仿宋_GB2312"/>
          <w:spacing w:val="8"/>
          <w:kern w:val="2"/>
          <w:szCs w:val="20"/>
        </w:rPr>
        <w:t>3</w:t>
      </w:r>
      <w:r w:rsidRPr="00515327">
        <w:rPr>
          <w:rFonts w:ascii="仿宋_GB2312" w:hint="eastAsia"/>
          <w:spacing w:val="8"/>
          <w:kern w:val="2"/>
          <w:szCs w:val="20"/>
        </w:rPr>
        <w:t>～</w:t>
      </w:r>
      <w:r w:rsidRPr="00515327">
        <w:rPr>
          <w:rFonts w:ascii="仿宋_GB2312"/>
          <w:spacing w:val="8"/>
          <w:kern w:val="2"/>
          <w:szCs w:val="20"/>
        </w:rPr>
        <w:t>5</w:t>
      </w:r>
      <w:r w:rsidRPr="00515327">
        <w:rPr>
          <w:rFonts w:ascii="仿宋_GB2312" w:hint="eastAsia"/>
          <w:spacing w:val="8"/>
          <w:kern w:val="2"/>
          <w:szCs w:val="20"/>
        </w:rPr>
        <w:t>公里设置，占地面积3000平方米/座；燃气客户服务网点按每处服务1.5～2.0万户设置，可结合公建或调压设施合建。</w:t>
      </w:r>
      <w:bookmarkEnd w:id="52"/>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53" w:name="_Toc119230873"/>
      <w:r w:rsidRPr="00D43255">
        <w:rPr>
          <w:rFonts w:hint="eastAsia"/>
        </w:rPr>
        <w:t>汽车加气站布局</w:t>
      </w:r>
      <w:bookmarkEnd w:id="53"/>
    </w:p>
    <w:p w:rsidR="00BE3CF7" w:rsidRPr="00BE3CF7" w:rsidRDefault="00BE3CF7" w:rsidP="00BE3CF7">
      <w:pPr>
        <w:adjustRightInd w:val="0"/>
        <w:snapToGrid w:val="0"/>
        <w:ind w:firstLine="592"/>
        <w:rPr>
          <w:rFonts w:ascii="仿宋_GB2312"/>
          <w:spacing w:val="8"/>
          <w:kern w:val="2"/>
          <w:szCs w:val="20"/>
        </w:rPr>
      </w:pPr>
      <w:r w:rsidRPr="00BE3CF7">
        <w:rPr>
          <w:rFonts w:ascii="仿宋_GB2312" w:hint="eastAsia"/>
          <w:spacing w:val="8"/>
          <w:kern w:val="2"/>
          <w:szCs w:val="20"/>
        </w:rPr>
        <w:t>压缩天然气常规加气站和加气子站、液化天然气加气站可与加油站或其他燃气场站合建，各类天然气加气站也可联合建设。在城市建成区不应建设液化天然气一级加气站和液化天然气一级加油加气合建站，在城市人员密集区域不应建设液化天然气一级加气站和压缩天然气加气母站，在城市人员密集区域所建的液化天然气加气站、液化天然气加油加气合建站宜采用地下或半地下LNG储罐。液化天然气加气站在道路沿线设置时，道路同侧每5公里只能设置1座液化天然气加气站。</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54" w:name="_Toc119230874"/>
      <w:r w:rsidRPr="00D43255">
        <w:rPr>
          <w:rFonts w:hint="eastAsia"/>
        </w:rPr>
        <w:t>液化石油气设施布局</w:t>
      </w:r>
      <w:bookmarkEnd w:id="54"/>
    </w:p>
    <w:p w:rsidR="00D43255" w:rsidRPr="00515327" w:rsidRDefault="00BE3CF7" w:rsidP="00BE3CF7">
      <w:pPr>
        <w:adjustRightInd w:val="0"/>
        <w:snapToGrid w:val="0"/>
        <w:ind w:firstLine="592"/>
        <w:rPr>
          <w:rFonts w:ascii="仿宋_GB2312"/>
          <w:spacing w:val="8"/>
          <w:kern w:val="2"/>
          <w:szCs w:val="20"/>
        </w:rPr>
      </w:pPr>
      <w:bookmarkStart w:id="55" w:name="_Hlk107503000"/>
      <w:r w:rsidRPr="00BE3CF7">
        <w:rPr>
          <w:rFonts w:ascii="仿宋_GB2312" w:hint="eastAsia"/>
          <w:spacing w:val="8"/>
          <w:kern w:val="2"/>
          <w:szCs w:val="20"/>
        </w:rPr>
        <w:t>天津市未来不再发展民用管道液化石油气和气化站。津城和滨城核心区逐步废除现状并不再新建液化石油气储配和灌装站，</w:t>
      </w:r>
      <w:r w:rsidRPr="00BE3CF7">
        <w:rPr>
          <w:rFonts w:ascii="仿宋_GB2312" w:hint="eastAsia"/>
          <w:spacing w:val="8"/>
          <w:kern w:val="2"/>
          <w:szCs w:val="20"/>
        </w:rPr>
        <w:lastRenderedPageBreak/>
        <w:t>津城核心区内每个行政区保留1座液化石油气瓶装供应站，滨城核心区内按照液化石油气用户购气距离不超过5公里的原则设置液化石油气瓶装供应站；其他地区可新建或升级改造现状储配和灌装站，每个行政区最多保留</w:t>
      </w:r>
      <w:r w:rsidRPr="00BE3CF7">
        <w:rPr>
          <w:rFonts w:ascii="仿宋_GB2312"/>
          <w:spacing w:val="8"/>
          <w:kern w:val="2"/>
          <w:szCs w:val="20"/>
        </w:rPr>
        <w:t>2</w:t>
      </w:r>
      <w:r w:rsidRPr="00BE3CF7">
        <w:rPr>
          <w:rFonts w:ascii="仿宋_GB2312" w:hint="eastAsia"/>
          <w:spacing w:val="8"/>
          <w:kern w:val="2"/>
          <w:szCs w:val="20"/>
        </w:rPr>
        <w:t>-3座液化石油气储配和灌装站，</w:t>
      </w:r>
      <w:r w:rsidRPr="00664A98">
        <w:rPr>
          <w:rFonts w:ascii="仿宋_GB2312" w:hint="eastAsia"/>
          <w:color w:val="000000" w:themeColor="text1"/>
          <w:spacing w:val="8"/>
          <w:kern w:val="2"/>
          <w:szCs w:val="20"/>
        </w:rPr>
        <w:t>同时根据地方发展需要设置液化石油气瓶装供应站并实现统一管理。</w:t>
      </w:r>
      <w:bookmarkEnd w:id="55"/>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56" w:name="_Toc119230875"/>
      <w:r w:rsidRPr="00D43255">
        <w:rPr>
          <w:rFonts w:hint="eastAsia"/>
        </w:rPr>
        <w:t>燃气设施保护范围及管控要求</w:t>
      </w:r>
      <w:bookmarkEnd w:id="56"/>
    </w:p>
    <w:p w:rsidR="0005283A" w:rsidRPr="002F5A03" w:rsidRDefault="0005283A" w:rsidP="00BE3CF7">
      <w:pPr>
        <w:adjustRightInd w:val="0"/>
        <w:snapToGrid w:val="0"/>
        <w:ind w:firstLine="592"/>
        <w:rPr>
          <w:rFonts w:ascii="仿宋_GB2312"/>
          <w:spacing w:val="8"/>
          <w:kern w:val="2"/>
          <w:szCs w:val="20"/>
        </w:rPr>
      </w:pPr>
      <w:r w:rsidRPr="002F5A03">
        <w:rPr>
          <w:rFonts w:ascii="仿宋_GB2312" w:hint="eastAsia"/>
          <w:spacing w:val="8"/>
          <w:kern w:val="2"/>
          <w:szCs w:val="20"/>
        </w:rPr>
        <w:t>燃气输配管道</w:t>
      </w:r>
      <w:r w:rsidR="002F5A03" w:rsidRPr="002F5A03">
        <w:rPr>
          <w:rFonts w:ascii="仿宋_GB2312" w:hint="eastAsia"/>
          <w:spacing w:val="8"/>
          <w:kern w:val="2"/>
          <w:szCs w:val="20"/>
        </w:rPr>
        <w:t>、调压站等燃气设施</w:t>
      </w:r>
      <w:r w:rsidRPr="002F5A03">
        <w:rPr>
          <w:rFonts w:ascii="仿宋_GB2312" w:hint="eastAsia"/>
          <w:spacing w:val="8"/>
          <w:kern w:val="2"/>
          <w:szCs w:val="20"/>
        </w:rPr>
        <w:t>的保护范围</w:t>
      </w:r>
      <w:r w:rsidR="002F5A03" w:rsidRPr="002F5A03">
        <w:rPr>
          <w:rFonts w:ascii="仿宋_GB2312" w:hint="eastAsia"/>
          <w:spacing w:val="8"/>
          <w:kern w:val="2"/>
          <w:szCs w:val="20"/>
        </w:rPr>
        <w:t>应根据输配系统的压力分级和周边环境条件确定。</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1、输配管道及附属设施</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在输配管道及附属设施的保护范围内，不得从事下列危及输配管道及附属设施安全的活动：建设建筑物、构筑物或其他设施；进行爆破、取土等作业；倾倒、排放腐蚀性物质；放置易燃易爆危险物品；种植根系深达管道埋设部位可能损坏管道本体及防腐层的植物；其他危及燃气设施安全的活动。在输配管道及附属设施保护范围内从事敷设管道、打桩、顶进、挖掘、钻探等可能影响燃气设施安全活动时，应与燃气运行单位制定燃气设施保护方案并采取安全保护措施。</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spacing w:val="8"/>
          <w:kern w:val="2"/>
          <w:szCs w:val="20"/>
        </w:rPr>
        <w:t>2</w:t>
      </w:r>
      <w:r w:rsidRPr="00515327">
        <w:rPr>
          <w:rFonts w:ascii="仿宋_GB2312" w:hint="eastAsia"/>
          <w:spacing w:val="8"/>
          <w:kern w:val="2"/>
          <w:szCs w:val="20"/>
        </w:rPr>
        <w:t>、独立设置的调压站或露天调压装置</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hint="eastAsia"/>
          <w:spacing w:val="8"/>
          <w:kern w:val="2"/>
          <w:szCs w:val="20"/>
        </w:rPr>
        <w:t>在独立设置的调压站或露天调压装置的最小保护范围内，不得从事下列危及燃气调压设施安全的活动：建设建筑物、构筑物或其他设施；进行爆破、取土等作业；放置易燃易爆危险物品；其他危及燃气设施安全的活动。</w:t>
      </w:r>
    </w:p>
    <w:p w:rsidR="00D43255" w:rsidRPr="00515327" w:rsidRDefault="00D43255" w:rsidP="00BE3CF7">
      <w:pPr>
        <w:adjustRightInd w:val="0"/>
        <w:snapToGrid w:val="0"/>
        <w:ind w:firstLine="592"/>
        <w:rPr>
          <w:rFonts w:ascii="仿宋_GB2312"/>
          <w:spacing w:val="8"/>
          <w:kern w:val="2"/>
          <w:szCs w:val="20"/>
        </w:rPr>
      </w:pPr>
      <w:r w:rsidRPr="00515327">
        <w:rPr>
          <w:rFonts w:ascii="仿宋_GB2312"/>
          <w:spacing w:val="8"/>
          <w:kern w:val="2"/>
          <w:szCs w:val="20"/>
        </w:rPr>
        <w:t>3</w:t>
      </w:r>
      <w:r w:rsidRPr="00515327">
        <w:rPr>
          <w:rFonts w:ascii="仿宋_GB2312" w:hint="eastAsia"/>
          <w:spacing w:val="8"/>
          <w:kern w:val="2"/>
          <w:szCs w:val="20"/>
        </w:rPr>
        <w:t>、其他燃气设施</w:t>
      </w:r>
    </w:p>
    <w:p w:rsidR="006648BB" w:rsidRPr="00875087" w:rsidRDefault="00D43255" w:rsidP="00BE3CF7">
      <w:pPr>
        <w:adjustRightInd w:val="0"/>
        <w:snapToGrid w:val="0"/>
        <w:ind w:firstLine="592"/>
        <w:rPr>
          <w:rFonts w:ascii="Times New Roman"/>
          <w:spacing w:val="8"/>
          <w:kern w:val="2"/>
          <w:szCs w:val="20"/>
        </w:rPr>
      </w:pPr>
      <w:r w:rsidRPr="00515327">
        <w:rPr>
          <w:rFonts w:ascii="仿宋_GB2312" w:hint="eastAsia"/>
          <w:spacing w:val="8"/>
          <w:kern w:val="2"/>
          <w:szCs w:val="20"/>
        </w:rPr>
        <w:t>其他燃气设施的保护范围及管控要求参考</w:t>
      </w:r>
      <w:bookmarkStart w:id="57" w:name="_Toc119230876"/>
      <w:r w:rsidR="00312AD2" w:rsidRPr="00515327">
        <w:rPr>
          <w:rFonts w:ascii="仿宋_GB2312" w:hint="eastAsia"/>
          <w:spacing w:val="8"/>
          <w:kern w:val="2"/>
          <w:szCs w:val="20"/>
        </w:rPr>
        <w:t>法律法规、规范标准、国家和地方相关政策文件</w:t>
      </w:r>
      <w:r w:rsidR="00312AD2">
        <w:rPr>
          <w:rFonts w:ascii="仿宋_GB2312" w:hint="eastAsia"/>
          <w:spacing w:val="8"/>
          <w:kern w:val="2"/>
          <w:szCs w:val="20"/>
        </w:rPr>
        <w:t>等要求</w:t>
      </w:r>
      <w:r w:rsidR="00312AD2" w:rsidRPr="00515327">
        <w:rPr>
          <w:rFonts w:ascii="仿宋_GB2312" w:hint="eastAsia"/>
          <w:spacing w:val="8"/>
          <w:kern w:val="2"/>
          <w:szCs w:val="20"/>
        </w:rPr>
        <w:t>。</w:t>
      </w:r>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r w:rsidRPr="00875087">
        <w:rPr>
          <w:rFonts w:ascii="宋体" w:hAnsi="宋体" w:hint="eastAsia"/>
          <w:szCs w:val="40"/>
        </w:rPr>
        <w:lastRenderedPageBreak/>
        <w:t>现状燃气设施利用改造方案</w:t>
      </w:r>
      <w:bookmarkEnd w:id="57"/>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58" w:name="_Toc119230877"/>
      <w:r w:rsidRPr="00D43255">
        <w:rPr>
          <w:rFonts w:hint="eastAsia"/>
        </w:rPr>
        <w:t>燃气设施升级改造</w:t>
      </w:r>
      <w:bookmarkEnd w:id="58"/>
    </w:p>
    <w:p w:rsidR="006648BB" w:rsidRPr="00515327" w:rsidRDefault="00D43255" w:rsidP="00211677">
      <w:pPr>
        <w:adjustRightInd w:val="0"/>
        <w:snapToGrid w:val="0"/>
        <w:ind w:firstLine="592"/>
        <w:rPr>
          <w:rFonts w:ascii="仿宋_GB2312"/>
          <w:spacing w:val="8"/>
          <w:kern w:val="2"/>
          <w:szCs w:val="20"/>
        </w:rPr>
      </w:pPr>
      <w:r w:rsidRPr="00515327">
        <w:rPr>
          <w:rFonts w:ascii="仿宋_GB2312" w:hint="eastAsia"/>
          <w:spacing w:val="8"/>
          <w:kern w:val="2"/>
          <w:szCs w:val="20"/>
        </w:rPr>
        <w:t>天津市燃气厂站和管网设施</w:t>
      </w:r>
      <w:r w:rsidR="0005283A">
        <w:rPr>
          <w:rFonts w:ascii="仿宋_GB2312" w:hint="eastAsia"/>
          <w:spacing w:val="8"/>
          <w:kern w:val="2"/>
          <w:szCs w:val="20"/>
        </w:rPr>
        <w:t>应充分利用现状</w:t>
      </w:r>
      <w:r w:rsidRPr="00515327">
        <w:rPr>
          <w:rFonts w:ascii="仿宋_GB2312" w:hint="eastAsia"/>
          <w:spacing w:val="8"/>
          <w:kern w:val="2"/>
          <w:szCs w:val="20"/>
        </w:rPr>
        <w:t>，但随着用气需求的提升以及现状设施运行时间增加所导致的设施老化，需对现状然气厂站和管网设施进行扩容提升和老化改造，在升级改造过程中</w:t>
      </w:r>
      <w:r w:rsidR="0005283A">
        <w:rPr>
          <w:rFonts w:ascii="仿宋_GB2312" w:hint="eastAsia"/>
          <w:spacing w:val="8"/>
          <w:kern w:val="2"/>
          <w:szCs w:val="20"/>
        </w:rPr>
        <w:t>应</w:t>
      </w:r>
      <w:r w:rsidRPr="00515327">
        <w:rPr>
          <w:rFonts w:ascii="仿宋_GB2312" w:hint="eastAsia"/>
          <w:spacing w:val="8"/>
          <w:kern w:val="2"/>
          <w:szCs w:val="20"/>
        </w:rPr>
        <w:t>推广新型基础设施建设，进行智能化改造，同时鼓励大数据、物联网、人工智能5G等先进技术与燃气发展深度融合。</w:t>
      </w:r>
      <w:bookmarkStart w:id="59" w:name="_Toc119230878"/>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r w:rsidRPr="00875087">
        <w:rPr>
          <w:rFonts w:ascii="宋体" w:hAnsi="宋体" w:hint="eastAsia"/>
          <w:szCs w:val="40"/>
        </w:rPr>
        <w:t>近期建设方案</w:t>
      </w:r>
      <w:bookmarkEnd w:id="59"/>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60" w:name="_Toc119230879"/>
      <w:r w:rsidRPr="00D43255">
        <w:rPr>
          <w:rFonts w:hint="eastAsia"/>
        </w:rPr>
        <w:t>近期建设重点任务</w:t>
      </w:r>
      <w:bookmarkEnd w:id="60"/>
    </w:p>
    <w:p w:rsidR="00D43255" w:rsidRPr="00515327" w:rsidRDefault="00D43255" w:rsidP="00211677">
      <w:pPr>
        <w:adjustRightInd w:val="0"/>
        <w:snapToGrid w:val="0"/>
        <w:ind w:firstLine="592"/>
        <w:rPr>
          <w:rFonts w:ascii="仿宋_GB2312"/>
          <w:spacing w:val="8"/>
          <w:kern w:val="2"/>
          <w:szCs w:val="20"/>
        </w:rPr>
      </w:pPr>
      <w:r w:rsidRPr="00515327">
        <w:rPr>
          <w:rFonts w:ascii="仿宋_GB2312" w:hint="eastAsia"/>
          <w:spacing w:val="8"/>
          <w:kern w:val="2"/>
          <w:szCs w:val="20"/>
        </w:rPr>
        <w:t>1、强化燃气安全保障，稳定供应渠道</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spacing w:val="8"/>
          <w:kern w:val="2"/>
          <w:szCs w:val="20"/>
        </w:rPr>
        <w:t>进一步深化与上游气源企业战略合作和沟通协调机制，充分发挥管道气主渠道作用，有效利用液化天然气资源，巩固多元化多渠道供气格局，</w:t>
      </w:r>
      <w:r w:rsidRPr="00515327">
        <w:rPr>
          <w:rFonts w:ascii="仿宋_GB2312" w:hint="eastAsia"/>
          <w:spacing w:val="8"/>
          <w:kern w:val="2"/>
          <w:szCs w:val="20"/>
        </w:rPr>
        <w:t>实现多气源、多方向供应，</w:t>
      </w:r>
      <w:r w:rsidRPr="00515327">
        <w:rPr>
          <w:rFonts w:ascii="仿宋_GB2312"/>
          <w:spacing w:val="8"/>
          <w:kern w:val="2"/>
          <w:szCs w:val="20"/>
        </w:rPr>
        <w:t>保障全市天然气安全稳定供应。</w:t>
      </w:r>
      <w:r w:rsidRPr="00515327">
        <w:rPr>
          <w:rFonts w:ascii="仿宋_GB2312" w:hint="eastAsia"/>
          <w:spacing w:val="8"/>
          <w:kern w:val="2"/>
          <w:szCs w:val="20"/>
        </w:rPr>
        <w:t>按照节约用地、统筹管理的原则，推动一体化建设大型天然气分输站和门站枢纽，同时配合上游气源分输节点建设接气门站。</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hint="eastAsia"/>
          <w:spacing w:val="8"/>
          <w:kern w:val="2"/>
          <w:szCs w:val="20"/>
        </w:rPr>
        <w:t>2、加强储气调峰建设，扩大储气规模</w:t>
      </w:r>
    </w:p>
    <w:p w:rsidR="00D43255" w:rsidRPr="00515327" w:rsidRDefault="00D43255" w:rsidP="00211677">
      <w:pPr>
        <w:adjustRightInd w:val="0"/>
        <w:snapToGrid w:val="0"/>
        <w:ind w:firstLine="592"/>
        <w:rPr>
          <w:rFonts w:ascii="仿宋_GB2312"/>
          <w:spacing w:val="8"/>
          <w:kern w:val="2"/>
          <w:szCs w:val="20"/>
        </w:rPr>
      </w:pPr>
      <w:bookmarkStart w:id="61" w:name="_Hlk116202984"/>
      <w:r w:rsidRPr="00515327">
        <w:rPr>
          <w:rFonts w:ascii="仿宋_GB2312"/>
          <w:spacing w:val="8"/>
          <w:kern w:val="2"/>
          <w:szCs w:val="20"/>
        </w:rPr>
        <w:t>推动大型LNG调峰储配站建设，</w:t>
      </w:r>
      <w:bookmarkEnd w:id="61"/>
      <w:r w:rsidRPr="00515327">
        <w:rPr>
          <w:rFonts w:ascii="仿宋_GB2312"/>
          <w:spacing w:val="8"/>
          <w:kern w:val="2"/>
          <w:szCs w:val="20"/>
        </w:rPr>
        <w:t>形成合作开发与自建相结合的储气调峰模式，实现地方政府3天日均消费量、城镇燃气企业年用气量5%的储气能力目标。</w:t>
      </w:r>
      <w:r w:rsidRPr="00515327">
        <w:rPr>
          <w:rFonts w:ascii="仿宋_GB2312" w:hint="eastAsia"/>
          <w:spacing w:val="8"/>
          <w:kern w:val="2"/>
          <w:szCs w:val="20"/>
        </w:rPr>
        <w:t>完善天然气应急调峰机制，</w:t>
      </w:r>
      <w:r w:rsidRPr="00515327">
        <w:rPr>
          <w:rFonts w:ascii="仿宋_GB2312"/>
          <w:spacing w:val="8"/>
          <w:kern w:val="2"/>
          <w:szCs w:val="20"/>
        </w:rPr>
        <w:t>动态调整天然气调峰用户清单，确保形成不</w:t>
      </w:r>
      <w:r w:rsidRPr="00515327">
        <w:rPr>
          <w:rFonts w:ascii="仿宋_GB2312" w:hint="eastAsia"/>
          <w:spacing w:val="8"/>
          <w:kern w:val="2"/>
          <w:szCs w:val="20"/>
        </w:rPr>
        <w:t>少</w:t>
      </w:r>
      <w:r w:rsidRPr="00515327">
        <w:rPr>
          <w:rFonts w:ascii="仿宋_GB2312"/>
          <w:spacing w:val="8"/>
          <w:kern w:val="2"/>
          <w:szCs w:val="20"/>
        </w:rPr>
        <w:t>于高峰日用气量20%的用户调峰能力。加强天然气需求侧调峰能力建设，建立健全调峰用户分级制度，引导用户合理有序用气。</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spacing w:val="8"/>
          <w:kern w:val="2"/>
          <w:szCs w:val="20"/>
        </w:rPr>
        <w:t>3</w:t>
      </w:r>
      <w:r w:rsidRPr="00515327">
        <w:rPr>
          <w:rFonts w:ascii="仿宋_GB2312" w:hint="eastAsia"/>
          <w:spacing w:val="8"/>
          <w:kern w:val="2"/>
          <w:szCs w:val="20"/>
        </w:rPr>
        <w:t>、完善高压输配机制，推动管网建设</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hint="eastAsia"/>
          <w:spacing w:val="8"/>
          <w:kern w:val="2"/>
          <w:szCs w:val="20"/>
        </w:rPr>
        <w:t>整合天津市现有4.0MPa高压管网资源，进一步完善全市高压</w:t>
      </w:r>
      <w:r w:rsidRPr="00515327">
        <w:rPr>
          <w:rFonts w:ascii="仿宋_GB2312" w:hint="eastAsia"/>
          <w:spacing w:val="8"/>
          <w:kern w:val="2"/>
          <w:szCs w:val="20"/>
        </w:rPr>
        <w:lastRenderedPageBreak/>
        <w:t>管网输配机制，推动供气企业间多气源互补，确保在冬季高峰缺气时得到有效补充，不断提高管网利用率，实现燃气资源的稳定供应和灵活调配。</w:t>
      </w:r>
      <w:r w:rsidRPr="00515327">
        <w:rPr>
          <w:rFonts w:ascii="仿宋_GB2312"/>
          <w:spacing w:val="8"/>
          <w:kern w:val="2"/>
          <w:szCs w:val="20"/>
        </w:rPr>
        <w:t>开展老旧管网改造工程，补足基础设施短板，保证安全稳定供气。</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spacing w:val="8"/>
          <w:kern w:val="2"/>
          <w:szCs w:val="20"/>
        </w:rPr>
        <w:t>4</w:t>
      </w:r>
      <w:r w:rsidRPr="00515327">
        <w:rPr>
          <w:rFonts w:ascii="仿宋_GB2312" w:hint="eastAsia"/>
          <w:spacing w:val="8"/>
          <w:kern w:val="2"/>
          <w:szCs w:val="20"/>
        </w:rPr>
        <w:t>、消除燃气安全隐患，保障安全生产</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hint="eastAsia"/>
          <w:spacing w:val="8"/>
          <w:kern w:val="2"/>
          <w:szCs w:val="20"/>
        </w:rPr>
        <w:t>建立燃气设施安全隐患一本台账并建立基础信息库。完成所有用户用丝扣连接软管、用熄火保护灶、安装燃气自闭阀、用物联网燃气表、安装燃气报警器、产品合格率，六个指标达到1</w:t>
      </w:r>
      <w:r w:rsidRPr="00515327">
        <w:rPr>
          <w:rFonts w:ascii="仿宋_GB2312"/>
          <w:spacing w:val="8"/>
          <w:kern w:val="2"/>
          <w:szCs w:val="20"/>
        </w:rPr>
        <w:t>00%</w:t>
      </w:r>
      <w:r w:rsidRPr="00515327">
        <w:rPr>
          <w:rFonts w:ascii="仿宋_GB2312" w:hint="eastAsia"/>
          <w:spacing w:val="8"/>
          <w:kern w:val="2"/>
          <w:szCs w:val="20"/>
        </w:rPr>
        <w:t>。探索并落实安全事故事前管理切实有效的管理制度。</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spacing w:val="8"/>
          <w:kern w:val="2"/>
          <w:szCs w:val="20"/>
        </w:rPr>
        <w:t>5</w:t>
      </w:r>
      <w:r w:rsidRPr="00515327">
        <w:rPr>
          <w:rFonts w:ascii="仿宋_GB2312" w:hint="eastAsia"/>
          <w:spacing w:val="8"/>
          <w:kern w:val="2"/>
          <w:szCs w:val="20"/>
        </w:rPr>
        <w:t>、做好农村“煤改气”安全运行管理</w:t>
      </w:r>
    </w:p>
    <w:p w:rsidR="00D43255" w:rsidRPr="00515327" w:rsidRDefault="00D43255" w:rsidP="00211677">
      <w:pPr>
        <w:adjustRightInd w:val="0"/>
        <w:snapToGrid w:val="0"/>
        <w:ind w:firstLine="592"/>
        <w:rPr>
          <w:rFonts w:ascii="仿宋_GB2312"/>
          <w:spacing w:val="8"/>
          <w:kern w:val="2"/>
          <w:szCs w:val="20"/>
        </w:rPr>
      </w:pPr>
      <w:r w:rsidRPr="00515327">
        <w:rPr>
          <w:rFonts w:ascii="仿宋_GB2312" w:hint="eastAsia"/>
          <w:spacing w:val="8"/>
          <w:kern w:val="2"/>
          <w:szCs w:val="20"/>
        </w:rPr>
        <w:t>针对天津市农村“煤改气”和用气特点，通过实现气源供应多元化、加强供气系统的调峰应急能力、建立健全安全监管长效机制、加大用户安全知识宣传力度、完善突发事件应急响应及处理措施等手段确保农村“煤改气”安全运行。</w:t>
      </w:r>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bookmarkStart w:id="62" w:name="_Toc119230881"/>
      <w:r w:rsidRPr="00875087">
        <w:rPr>
          <w:rFonts w:ascii="宋体" w:hAnsi="宋体" w:hint="eastAsia"/>
          <w:szCs w:val="40"/>
        </w:rPr>
        <w:t>燃气供应保障措施和安全保障措施</w:t>
      </w:r>
      <w:bookmarkEnd w:id="62"/>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63" w:name="_Toc119230882"/>
      <w:r w:rsidRPr="00D43255">
        <w:rPr>
          <w:rFonts w:hint="eastAsia"/>
        </w:rPr>
        <w:t>燃气供应保障措施</w:t>
      </w:r>
      <w:bookmarkEnd w:id="63"/>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1、对接上游企业输气系统，落实气源供给保障</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依托中石油、中海油、中石化等多家上游供气企业，国产气、进口气相结合，管道气和LNG相结合，实现多气源、多方向供应，确保满足我市城镇燃气供应需求。同时，加强需求侧管理，强化合同约束。组织各燃气用户细化完善用气需求，特别对燃气锅炉房等重点民生用户实施精细化管理，科学制定用气计划，在此基础上督促各城燃企业与燃气用户按期签订供气合同。</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2</w:t>
      </w:r>
      <w:r w:rsidRPr="00C00B8D">
        <w:rPr>
          <w:rFonts w:ascii="仿宋_GB2312" w:hint="eastAsia"/>
          <w:spacing w:val="8"/>
          <w:kern w:val="2"/>
          <w:szCs w:val="20"/>
        </w:rPr>
        <w:t>、完善天然气一张网布局，有序推进管网建设</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整合天津市现有高压管网，分阶段实现高压管道的互连互通</w:t>
      </w:r>
      <w:r w:rsidRPr="00C00B8D">
        <w:rPr>
          <w:rFonts w:ascii="仿宋_GB2312"/>
          <w:spacing w:val="8"/>
          <w:kern w:val="2"/>
          <w:szCs w:val="20"/>
        </w:rPr>
        <w:lastRenderedPageBreak/>
        <w:t>并形成高压</w:t>
      </w:r>
      <w:r w:rsidRPr="00C00B8D">
        <w:rPr>
          <w:rFonts w:ascii="仿宋_GB2312"/>
          <w:spacing w:val="8"/>
          <w:kern w:val="2"/>
          <w:szCs w:val="20"/>
        </w:rPr>
        <w:t>“</w:t>
      </w:r>
      <w:r w:rsidRPr="00C00B8D">
        <w:rPr>
          <w:rFonts w:ascii="仿宋_GB2312"/>
          <w:spacing w:val="8"/>
          <w:kern w:val="2"/>
          <w:szCs w:val="20"/>
        </w:rPr>
        <w:t>一张网</w:t>
      </w:r>
      <w:r w:rsidRPr="00C00B8D">
        <w:rPr>
          <w:rFonts w:ascii="仿宋_GB2312"/>
          <w:spacing w:val="8"/>
          <w:kern w:val="2"/>
          <w:szCs w:val="20"/>
        </w:rPr>
        <w:t>”</w:t>
      </w:r>
      <w:r w:rsidRPr="00C00B8D">
        <w:rPr>
          <w:rFonts w:ascii="仿宋_GB2312" w:hint="eastAsia"/>
          <w:spacing w:val="8"/>
          <w:kern w:val="2"/>
          <w:szCs w:val="20"/>
        </w:rPr>
        <w:t>，积极推动成立市级层面的高压管网公司，进一步完善全市高压管网输配机制，推动供气企业间多气源互补，确保在冬季高峰缺气时得到有效补充，不断提高管网利用率，实现燃气资源的稳定供应和灵活调配。</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3</w:t>
      </w:r>
      <w:r w:rsidRPr="00C00B8D">
        <w:rPr>
          <w:rFonts w:ascii="仿宋_GB2312" w:hint="eastAsia"/>
          <w:spacing w:val="8"/>
          <w:kern w:val="2"/>
          <w:szCs w:val="20"/>
        </w:rPr>
        <w:t>、提升全市储气调峰水平，保障应急调峰能力</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组织城镇燃气企业提升应急处置能力，通过参股等方式与上游气源单位合作或租用已建调峰储备项目等多种形式，形成不低于其年用气量5%的储气能力，解决我市应急调峰问题，积极推动国家管网公司天津港LNG二期等储气项目建设。组织城镇燃气企业落实调峰用户清单，按期签订调峰协议，确保形成不少于高峰日用气量20%的用户调峰能力。</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4</w:t>
      </w:r>
      <w:r w:rsidRPr="00C00B8D">
        <w:rPr>
          <w:rFonts w:ascii="仿宋_GB2312" w:hint="eastAsia"/>
          <w:spacing w:val="8"/>
          <w:kern w:val="2"/>
          <w:szCs w:val="20"/>
        </w:rPr>
        <w:t>、修订燃气行业应急预案，完善应急保障体系</w:t>
      </w:r>
    </w:p>
    <w:p w:rsidR="00D43255" w:rsidRPr="00515327"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从应急预案、应急气源、应急队伍、应急物资等多方面入手，建立完善管理制度，有针对性的开展不同内容、不同形式的应急培训和应急演练，不断提升我市燃气行业应急保障能力。</w:t>
      </w:r>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64" w:name="_Toc119230883"/>
      <w:r w:rsidRPr="00D43255">
        <w:rPr>
          <w:rFonts w:hint="eastAsia"/>
        </w:rPr>
        <w:t>燃气安全保障措施</w:t>
      </w:r>
      <w:bookmarkEnd w:id="64"/>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1、开展安全排查整治工作，消除燃气安全隐患</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健全完善城镇燃气全链条、全过程安全生产监督管理职责，确保城镇燃气安全管理全覆盖、无盲区、无死角</w:t>
      </w:r>
      <w:r w:rsidRPr="00C00B8D">
        <w:rPr>
          <w:rFonts w:ascii="仿宋_GB2312"/>
          <w:spacing w:val="8"/>
          <w:kern w:val="2"/>
          <w:szCs w:val="20"/>
        </w:rPr>
        <w:t>。按照国务院方案要求和市政府部署，</w:t>
      </w:r>
      <w:r w:rsidRPr="00C00B8D">
        <w:rPr>
          <w:rFonts w:ascii="仿宋_GB2312" w:hint="eastAsia"/>
          <w:spacing w:val="8"/>
          <w:kern w:val="2"/>
          <w:szCs w:val="20"/>
        </w:rPr>
        <w:t>对房建、市政和地铁项目工地食堂、已建成但尚未验收合格、检验合格的燃气管道、在建城镇燃气工程、燃气管道周边房建、市政和地铁建设项目等进行燃气安全排查整治。结合企业自查、市区两级排查、市级督查多种方式，及时协调解决疑难重点问题。</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2</w:t>
      </w:r>
      <w:r w:rsidRPr="00C00B8D">
        <w:rPr>
          <w:rFonts w:ascii="仿宋_GB2312" w:hint="eastAsia"/>
          <w:spacing w:val="8"/>
          <w:kern w:val="2"/>
          <w:szCs w:val="20"/>
        </w:rPr>
        <w:t>、健全农村煤改气监管机制，加大农村安全宣传</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lastRenderedPageBreak/>
        <w:t>针对天津市农村</w:t>
      </w:r>
      <w:r w:rsidRPr="00C00B8D">
        <w:rPr>
          <w:rFonts w:ascii="仿宋_GB2312"/>
          <w:spacing w:val="8"/>
          <w:kern w:val="2"/>
          <w:szCs w:val="20"/>
        </w:rPr>
        <w:t>“</w:t>
      </w:r>
      <w:r w:rsidRPr="00C00B8D">
        <w:rPr>
          <w:rFonts w:ascii="仿宋_GB2312"/>
          <w:spacing w:val="8"/>
          <w:kern w:val="2"/>
          <w:szCs w:val="20"/>
        </w:rPr>
        <w:t>煤改气</w:t>
      </w:r>
      <w:r w:rsidRPr="00C00B8D">
        <w:rPr>
          <w:rFonts w:ascii="仿宋_GB2312"/>
          <w:spacing w:val="8"/>
          <w:kern w:val="2"/>
          <w:szCs w:val="20"/>
        </w:rPr>
        <w:t>”</w:t>
      </w:r>
      <w:r w:rsidRPr="00C00B8D">
        <w:rPr>
          <w:rFonts w:ascii="仿宋_GB2312"/>
          <w:spacing w:val="8"/>
          <w:kern w:val="2"/>
          <w:szCs w:val="20"/>
        </w:rPr>
        <w:t>的主要安全问题，建立健全安全监管长效机制、加大用户安全知识宣传力度、建立突发事件应急响应及处理措施等手段来解决天津市农村</w:t>
      </w:r>
      <w:r w:rsidRPr="00C00B8D">
        <w:rPr>
          <w:rFonts w:ascii="仿宋_GB2312"/>
          <w:spacing w:val="8"/>
          <w:kern w:val="2"/>
          <w:szCs w:val="20"/>
        </w:rPr>
        <w:t>“</w:t>
      </w:r>
      <w:r w:rsidRPr="00C00B8D">
        <w:rPr>
          <w:rFonts w:ascii="仿宋_GB2312"/>
          <w:spacing w:val="8"/>
          <w:kern w:val="2"/>
          <w:szCs w:val="20"/>
        </w:rPr>
        <w:t>煤改气</w:t>
      </w:r>
      <w:r w:rsidRPr="00C00B8D">
        <w:rPr>
          <w:rFonts w:ascii="仿宋_GB2312"/>
          <w:spacing w:val="8"/>
          <w:kern w:val="2"/>
          <w:szCs w:val="20"/>
        </w:rPr>
        <w:t>”</w:t>
      </w:r>
      <w:r w:rsidRPr="00C00B8D">
        <w:rPr>
          <w:rFonts w:ascii="仿宋_GB2312"/>
          <w:spacing w:val="8"/>
          <w:kern w:val="2"/>
          <w:szCs w:val="20"/>
        </w:rPr>
        <w:t>安全问题。同时，燃气企业严格落实入户安检和宣传制度，按照《农村管道天然气工程技术导则》要求，在供暖前，重点对农村燃气用户户内设施进行安全检查，加强用气安全知识宣传，确保户内设施运行安全。</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3</w:t>
      </w:r>
      <w:r w:rsidRPr="00C00B8D">
        <w:rPr>
          <w:rFonts w:ascii="仿宋_GB2312" w:hint="eastAsia"/>
          <w:spacing w:val="8"/>
          <w:kern w:val="2"/>
          <w:szCs w:val="20"/>
        </w:rPr>
        <w:t>、推动</w:t>
      </w:r>
      <w:r w:rsidRPr="00C00B8D">
        <w:rPr>
          <w:rFonts w:ascii="仿宋_GB2312"/>
          <w:spacing w:val="8"/>
          <w:kern w:val="2"/>
          <w:szCs w:val="20"/>
        </w:rPr>
        <w:t>城市生命线工程</w:t>
      </w:r>
      <w:r w:rsidRPr="00C00B8D">
        <w:rPr>
          <w:rFonts w:ascii="仿宋_GB2312" w:hint="eastAsia"/>
          <w:spacing w:val="8"/>
          <w:kern w:val="2"/>
          <w:szCs w:val="20"/>
        </w:rPr>
        <w:t>建设，助力城市安全运行</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参考合肥城市生命线工程建设模式，</w:t>
      </w:r>
      <w:r w:rsidRPr="00C00B8D">
        <w:rPr>
          <w:rFonts w:ascii="仿宋_GB2312"/>
          <w:spacing w:val="8"/>
          <w:kern w:val="2"/>
          <w:szCs w:val="20"/>
        </w:rPr>
        <w:t>按照市领导工作部署，与</w:t>
      </w:r>
      <w:r w:rsidRPr="00C00B8D">
        <w:rPr>
          <w:rFonts w:ascii="仿宋_GB2312" w:hint="eastAsia"/>
          <w:spacing w:val="8"/>
          <w:kern w:val="2"/>
          <w:szCs w:val="20"/>
        </w:rPr>
        <w:t>高等院校</w:t>
      </w:r>
      <w:r w:rsidRPr="00C00B8D">
        <w:rPr>
          <w:rFonts w:ascii="仿宋_GB2312"/>
          <w:spacing w:val="8"/>
          <w:kern w:val="2"/>
          <w:szCs w:val="20"/>
        </w:rPr>
        <w:t>开展校地合作，推动我市城市生命线工程建设</w:t>
      </w:r>
      <w:r w:rsidRPr="00C00B8D">
        <w:rPr>
          <w:rFonts w:ascii="仿宋_GB2312" w:hint="eastAsia"/>
          <w:spacing w:val="8"/>
          <w:kern w:val="2"/>
          <w:szCs w:val="20"/>
        </w:rPr>
        <w:t>，结合燃气管线等设施安装前端传感器，实时监测管网运行数据，打造城市生命线公共基础设施安全运行综合支撑平台，共同编织全方位、立体化的城市运行安全网，构建“智慧安全城市”新业态，有力提升城市居民幸福生活指数。</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4</w:t>
      </w:r>
      <w:r w:rsidRPr="00C00B8D">
        <w:rPr>
          <w:rFonts w:ascii="仿宋_GB2312" w:hint="eastAsia"/>
          <w:spacing w:val="8"/>
          <w:kern w:val="2"/>
          <w:szCs w:val="20"/>
        </w:rPr>
        <w:t>、加强瓶装液化石油气管理，提升行业安全水平</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按照国家和本市有关标准和规范充装、储存气瓶，对气瓶进行建档登记，并按照要求在气瓶上设置条码、二维码或者射频标签等信息标识，对气瓶进行动态溯源，实现全过程跟踪管理。实行实名制销售，如实记录燃气用户基本信息、持有气瓶数量等，实行瓶装燃气统一配送模式，瓶装燃气供应站应当提供点对点配送服务。</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5</w:t>
      </w:r>
      <w:r w:rsidRPr="00C00B8D">
        <w:rPr>
          <w:rFonts w:ascii="仿宋_GB2312" w:hint="eastAsia"/>
          <w:spacing w:val="8"/>
          <w:kern w:val="2"/>
          <w:szCs w:val="20"/>
        </w:rPr>
        <w:t>、加强燃气施工监管力度，提高燃气施工质量</w:t>
      </w:r>
    </w:p>
    <w:p w:rsidR="00D43255" w:rsidRPr="00515327"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燃气施工的质量直接决定了燃气管道运行的安全，优良的燃气工程质量为燃气安全管理奠定了坚实的基础。</w:t>
      </w:r>
      <w:r w:rsidRPr="00664A98">
        <w:rPr>
          <w:rFonts w:ascii="仿宋_GB2312" w:hint="eastAsia"/>
          <w:color w:val="000000" w:themeColor="text1"/>
          <w:spacing w:val="8"/>
          <w:kern w:val="2"/>
          <w:szCs w:val="20"/>
        </w:rPr>
        <w:t>建设单位应按规定进行图纸审查，办理质量监督手续、施工许可手续、竣工验收、竣工备案等基本建设程序。燃气施工过程中，建设</w:t>
      </w:r>
      <w:r w:rsidRPr="00C00B8D">
        <w:rPr>
          <w:rFonts w:ascii="仿宋_GB2312" w:hint="eastAsia"/>
          <w:spacing w:val="8"/>
          <w:kern w:val="2"/>
          <w:szCs w:val="20"/>
        </w:rPr>
        <w:t>单位管理人员</w:t>
      </w:r>
      <w:r w:rsidRPr="00C00B8D">
        <w:rPr>
          <w:rFonts w:ascii="仿宋_GB2312" w:hint="eastAsia"/>
          <w:spacing w:val="8"/>
          <w:kern w:val="2"/>
          <w:szCs w:val="20"/>
        </w:rPr>
        <w:lastRenderedPageBreak/>
        <w:t>和监理工程师要严格按照城镇燃气施工管理规范和设计图纸进行监督，现场管理人员和监理工程师要对燃气配套的设计、材料选择、沟槽开挖、防腐处理、管线焊接、管道铺设及竣工验收等要有一套完整的质量控制标准和要求，确保燃气管道建设达到国家燃气安装质量标准。</w:t>
      </w:r>
    </w:p>
    <w:p w:rsidR="00D43255" w:rsidRPr="00875087" w:rsidRDefault="00D43255" w:rsidP="002800E8">
      <w:pPr>
        <w:pStyle w:val="1"/>
        <w:numPr>
          <w:ilvl w:val="0"/>
          <w:numId w:val="20"/>
        </w:numPr>
        <w:adjustRightInd w:val="0"/>
        <w:snapToGrid w:val="0"/>
        <w:spacing w:before="0" w:beforeAutospacing="0" w:after="0" w:afterAutospacing="0"/>
        <w:ind w:left="0" w:firstLine="0"/>
        <w:rPr>
          <w:rFonts w:ascii="宋体" w:hAnsi="宋体"/>
          <w:szCs w:val="40"/>
        </w:rPr>
      </w:pPr>
      <w:bookmarkStart w:id="65" w:name="_Toc119230884"/>
      <w:r w:rsidRPr="00875087">
        <w:rPr>
          <w:rFonts w:ascii="宋体" w:hAnsi="宋体" w:hint="eastAsia"/>
          <w:szCs w:val="40"/>
        </w:rPr>
        <w:t>规划实施保障措施</w:t>
      </w:r>
      <w:bookmarkEnd w:id="65"/>
    </w:p>
    <w:p w:rsidR="00D43255" w:rsidRPr="00D43255" w:rsidRDefault="00D43255" w:rsidP="008915A9">
      <w:pPr>
        <w:pStyle w:val="2"/>
        <w:numPr>
          <w:ilvl w:val="0"/>
          <w:numId w:val="2"/>
        </w:numPr>
        <w:tabs>
          <w:tab w:val="left" w:pos="1505"/>
        </w:tabs>
        <w:adjustRightInd w:val="0"/>
        <w:snapToGrid w:val="0"/>
        <w:spacing w:before="0" w:beforeAutospacing="0" w:after="0" w:afterAutospacing="0"/>
        <w:ind w:left="0" w:firstLine="0"/>
      </w:pPr>
      <w:bookmarkStart w:id="66" w:name="_Toc119230885"/>
      <w:r w:rsidRPr="00D43255">
        <w:rPr>
          <w:rFonts w:hint="eastAsia"/>
        </w:rPr>
        <w:t>规划实施保障措施</w:t>
      </w:r>
      <w:bookmarkEnd w:id="66"/>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1</w:t>
      </w:r>
      <w:r w:rsidRPr="00C00B8D">
        <w:rPr>
          <w:rFonts w:ascii="仿宋_GB2312" w:hint="eastAsia"/>
          <w:spacing w:val="8"/>
          <w:kern w:val="2"/>
          <w:szCs w:val="20"/>
        </w:rPr>
        <w:t>、强化政府宏观调控职能，发挥规划指导作用</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加强燃气行业管理，规范燃气市场，理顺燃气供气企业各方关系，规范燃气市场主体行为、维护燃气市场秩序。根据国家有关的产业政策和技术标准规范，加强对燃气市场的监管。</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2</w:t>
      </w:r>
      <w:r w:rsidRPr="00C00B8D">
        <w:rPr>
          <w:rFonts w:ascii="仿宋_GB2312" w:hint="eastAsia"/>
          <w:spacing w:val="8"/>
          <w:kern w:val="2"/>
          <w:szCs w:val="20"/>
        </w:rPr>
        <w:t>、开展各区专项编制工作，落实市级规划指标</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各区应按照市级燃气专项规划的要求开展编制区级燃气专项规划编制工作，结合本区发展和规划情况落实大型场站设施和主干管网，细化支线管网和场站设施的布局，指导区级燃气设施的建设。</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3</w:t>
      </w:r>
      <w:r w:rsidRPr="00C00B8D">
        <w:rPr>
          <w:rFonts w:ascii="仿宋_GB2312" w:hint="eastAsia"/>
          <w:spacing w:val="8"/>
          <w:kern w:val="2"/>
          <w:szCs w:val="20"/>
        </w:rPr>
        <w:t>、积极推进供气服务宣传，提高安全用气意识</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充分利用各种媒体开展安全用气宣传活动，提高全民安全用气意识，积极推进热线服务规范化，深入贯彻落实《天津市优化营商环境条列》，按照委、局工作要求，推动市城市管理委《关于进一步优化我市燃气行业营商环境加快用气报装接入的通知》的落实，提高用气报装服务水平。</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4</w:t>
      </w:r>
      <w:r w:rsidRPr="00C00B8D">
        <w:rPr>
          <w:rFonts w:ascii="仿宋_GB2312" w:hint="eastAsia"/>
          <w:spacing w:val="8"/>
          <w:kern w:val="2"/>
          <w:szCs w:val="20"/>
        </w:rPr>
        <w:t>、严格把关高压管网审批，避免企业无序竞争</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从全市气源统筹、燃气行业管理的角度出发，对高压管网建设进行把关，规范各区气源接收及管道建设工程管理及审批。通</w:t>
      </w:r>
      <w:r w:rsidRPr="00C00B8D">
        <w:rPr>
          <w:rFonts w:ascii="仿宋_GB2312" w:hint="eastAsia"/>
          <w:spacing w:val="8"/>
          <w:kern w:val="2"/>
          <w:szCs w:val="20"/>
        </w:rPr>
        <w:lastRenderedPageBreak/>
        <w:t>过授予特许经营权的形式规范城镇燃气企业市场竞争行为，避免无序竞争、重复投资、资源浪费等问题，确保供气安全。上下游燃气企业在生产和销售环节应进行专业分工、各司其职，避免上游燃气企业利用资源垄断的优势进入下游市场，扰乱市场秩序。</w:t>
      </w:r>
    </w:p>
    <w:p w:rsidR="00C00B8D" w:rsidRPr="00C00B8D" w:rsidRDefault="00C00B8D" w:rsidP="00C00B8D">
      <w:pPr>
        <w:adjustRightInd w:val="0"/>
        <w:snapToGrid w:val="0"/>
        <w:ind w:firstLine="592"/>
        <w:rPr>
          <w:rFonts w:ascii="仿宋_GB2312"/>
          <w:spacing w:val="8"/>
          <w:kern w:val="2"/>
          <w:szCs w:val="20"/>
        </w:rPr>
      </w:pPr>
      <w:r w:rsidRPr="00C00B8D">
        <w:rPr>
          <w:rFonts w:ascii="仿宋_GB2312"/>
          <w:spacing w:val="8"/>
          <w:kern w:val="2"/>
          <w:szCs w:val="20"/>
        </w:rPr>
        <w:t>5</w:t>
      </w:r>
      <w:r w:rsidRPr="00C00B8D">
        <w:rPr>
          <w:rFonts w:ascii="仿宋_GB2312" w:hint="eastAsia"/>
          <w:spacing w:val="8"/>
          <w:kern w:val="2"/>
          <w:szCs w:val="20"/>
        </w:rPr>
        <w:t>、依法合规开展项目建设，据实履行规划调整</w:t>
      </w:r>
    </w:p>
    <w:p w:rsidR="00441ADA" w:rsidRPr="00515327" w:rsidRDefault="00C00B8D" w:rsidP="00C00B8D">
      <w:pPr>
        <w:adjustRightInd w:val="0"/>
        <w:snapToGrid w:val="0"/>
        <w:ind w:firstLine="592"/>
        <w:rPr>
          <w:rFonts w:ascii="仿宋_GB2312"/>
          <w:spacing w:val="8"/>
          <w:kern w:val="2"/>
          <w:szCs w:val="20"/>
        </w:rPr>
      </w:pPr>
      <w:r w:rsidRPr="00C00B8D">
        <w:rPr>
          <w:rFonts w:ascii="仿宋_GB2312" w:hint="eastAsia"/>
          <w:spacing w:val="8"/>
          <w:kern w:val="2"/>
          <w:szCs w:val="20"/>
        </w:rPr>
        <w:t>在项目实施过程中，要依法合规建设施工，并且根据沿线涉及穿跨越公路、铁路、河道、林地等依法办理相关手续。项目实施涉及规划管线和场站设施是否调整问题由行业主管部门提出明确意见，确需进行调整的履行专项修改报批程序。</w:t>
      </w:r>
    </w:p>
    <w:sectPr w:rsidR="00441ADA" w:rsidRPr="00515327" w:rsidSect="00E4475A">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pgNumType w:start="1"/>
      <w:cols w:space="720"/>
      <w:docGrid w:linePitch="326"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BBA" w:rsidRDefault="00756BBA">
      <w:pPr>
        <w:spacing w:line="240" w:lineRule="auto"/>
        <w:ind w:firstLine="560"/>
      </w:pPr>
      <w:r>
        <w:separator/>
      </w:r>
    </w:p>
  </w:endnote>
  <w:endnote w:type="continuationSeparator" w:id="0">
    <w:p w:rsidR="00756BBA" w:rsidRDefault="00756BBA">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0F" w:rsidRDefault="00AE160F">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E7" w:rsidRDefault="00F83DF5" w:rsidP="006648BB">
    <w:pPr>
      <w:pStyle w:val="a6"/>
      <w:spacing w:before="120"/>
      <w:ind w:firstLine="360"/>
      <w:jc w:val="center"/>
    </w:pPr>
    <w:r>
      <w:fldChar w:fldCharType="begin"/>
    </w:r>
    <w:r w:rsidR="00767CE7">
      <w:instrText>PAGE   \* MERGEFORMAT</w:instrText>
    </w:r>
    <w:r>
      <w:fldChar w:fldCharType="separate"/>
    </w:r>
    <w:r w:rsidR="00664A98" w:rsidRPr="00664A98">
      <w:rPr>
        <w:noProof/>
        <w:lang w:val="zh-CN"/>
      </w:rPr>
      <w:t>17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0F" w:rsidRDefault="00AE160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BBA" w:rsidRDefault="00756BBA">
      <w:pPr>
        <w:spacing w:line="240" w:lineRule="auto"/>
        <w:ind w:firstLine="560"/>
      </w:pPr>
      <w:r>
        <w:separator/>
      </w:r>
    </w:p>
  </w:footnote>
  <w:footnote w:type="continuationSeparator" w:id="0">
    <w:p w:rsidR="00756BBA" w:rsidRDefault="00756BBA">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0F" w:rsidRDefault="00F83DF5">
    <w:pPr>
      <w:pStyle w:val="a7"/>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3307" o:spid="_x0000_s2050" type="#_x0000_t136" style="position:absolute;left:0;text-align:left;margin-left:0;margin-top:0;width:561.85pt;height:23.9pt;rotation:315;z-index:-251655168;mso-position-horizontal:center;mso-position-horizontal-relative:margin;mso-position-vertical:center;mso-position-vertical-relative:margin" o:allowincell="f" fillcolor="#7f7f7f [1612]" stroked="f">
          <v:textpath style="font-family:&quot;仿宋_GB2312&quot;;font-size:1pt" string="天津市燃气专项规划（2021-2035年）（征求意见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0F" w:rsidRDefault="00F83DF5" w:rsidP="00DD242B">
    <w:pPr>
      <w:pStyle w:val="a7"/>
      <w:pBdr>
        <w:bottom w:val="none" w:sz="0" w:space="0" w:color="auto"/>
      </w:pBdr>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3308" o:spid="_x0000_s2051" type="#_x0000_t136" style="position:absolute;left:0;text-align:left;margin-left:0;margin-top:0;width:561.85pt;height:23.9pt;rotation:315;z-index:-251653120;mso-position-horizontal:center;mso-position-horizontal-relative:margin;mso-position-vertical:center;mso-position-vertical-relative:margin" o:allowincell="f" fillcolor="#7f7f7f [1612]" stroked="f">
          <v:textpath style="font-family:&quot;仿宋_GB2312&quot;;font-size:1pt" string="天津市燃气专项规划（2021-2035年）（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0F" w:rsidRDefault="00F83DF5">
    <w:pPr>
      <w:pStyle w:val="a7"/>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3306" o:spid="_x0000_s2049" type="#_x0000_t136" style="position:absolute;left:0;text-align:left;margin-left:0;margin-top:0;width:561.85pt;height:23.9pt;rotation:315;z-index:-251657216;mso-position-horizontal:center;mso-position-horizontal-relative:margin;mso-position-vertical:center;mso-position-vertical-relative:margin" o:allowincell="f" fillcolor="#7f7f7f [1612]" stroked="f">
          <v:textpath style="font-family:&quot;仿宋_GB2312&quot;;font-size:1pt" string="天津市燃气专项规划（2021-2035年）（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62511"/>
    <w:multiLevelType w:val="singleLevel"/>
    <w:tmpl w:val="99E62511"/>
    <w:lvl w:ilvl="0">
      <w:start w:val="1"/>
      <w:numFmt w:val="decimal"/>
      <w:lvlText w:val="%1"/>
      <w:lvlJc w:val="center"/>
      <w:pPr>
        <w:ind w:left="420" w:hanging="420"/>
      </w:pPr>
      <w:rPr>
        <w:rFonts w:hint="eastAsia"/>
      </w:rPr>
    </w:lvl>
  </w:abstractNum>
  <w:abstractNum w:abstractNumId="1">
    <w:nsid w:val="9B4CEB03"/>
    <w:multiLevelType w:val="singleLevel"/>
    <w:tmpl w:val="9B4CEB03"/>
    <w:lvl w:ilvl="0">
      <w:start w:val="2"/>
      <w:numFmt w:val="chineseCounting"/>
      <w:suff w:val="nothing"/>
      <w:lvlText w:val="%1、"/>
      <w:lvlJc w:val="left"/>
      <w:pPr>
        <w:ind w:left="560" w:firstLine="0"/>
      </w:pPr>
      <w:rPr>
        <w:rFonts w:hint="eastAsia"/>
      </w:rPr>
    </w:lvl>
  </w:abstractNum>
  <w:abstractNum w:abstractNumId="2">
    <w:nsid w:val="C437C670"/>
    <w:multiLevelType w:val="singleLevel"/>
    <w:tmpl w:val="C437C670"/>
    <w:lvl w:ilvl="0">
      <w:start w:val="1"/>
      <w:numFmt w:val="chineseCounting"/>
      <w:suff w:val="space"/>
      <w:lvlText w:val="第%1章"/>
      <w:lvlJc w:val="left"/>
      <w:rPr>
        <w:rFonts w:hint="eastAsia"/>
      </w:rPr>
    </w:lvl>
  </w:abstractNum>
  <w:abstractNum w:abstractNumId="3">
    <w:nsid w:val="EEF6BF35"/>
    <w:multiLevelType w:val="singleLevel"/>
    <w:tmpl w:val="EEF6BF35"/>
    <w:lvl w:ilvl="0">
      <w:start w:val="1"/>
      <w:numFmt w:val="lowerLetter"/>
      <w:suff w:val="nothing"/>
      <w:lvlText w:val="%1、"/>
      <w:lvlJc w:val="left"/>
      <w:pPr>
        <w:ind w:left="425" w:firstLine="0"/>
      </w:pPr>
    </w:lvl>
  </w:abstractNum>
  <w:abstractNum w:abstractNumId="4">
    <w:nsid w:val="EFFEA6DB"/>
    <w:multiLevelType w:val="singleLevel"/>
    <w:tmpl w:val="EFFEA6DB"/>
    <w:lvl w:ilvl="0">
      <w:start w:val="7"/>
      <w:numFmt w:val="decimal"/>
      <w:suff w:val="nothing"/>
      <w:lvlText w:val="%1、"/>
      <w:lvlJc w:val="left"/>
      <w:pPr>
        <w:ind w:left="0" w:firstLine="0"/>
      </w:pPr>
    </w:lvl>
  </w:abstractNum>
  <w:abstractNum w:abstractNumId="5">
    <w:nsid w:val="F6975C02"/>
    <w:multiLevelType w:val="singleLevel"/>
    <w:tmpl w:val="F6975C02"/>
    <w:lvl w:ilvl="0">
      <w:start w:val="1"/>
      <w:numFmt w:val="decimal"/>
      <w:suff w:val="nothing"/>
      <w:lvlText w:val="%1、"/>
      <w:lvlJc w:val="left"/>
      <w:pPr>
        <w:ind w:left="0" w:firstLine="0"/>
      </w:pPr>
    </w:lvl>
  </w:abstractNum>
  <w:abstractNum w:abstractNumId="6">
    <w:nsid w:val="FFD356D3"/>
    <w:multiLevelType w:val="singleLevel"/>
    <w:tmpl w:val="FFD356D3"/>
    <w:lvl w:ilvl="0">
      <w:start w:val="4"/>
      <w:numFmt w:val="decimal"/>
      <w:suff w:val="nothing"/>
      <w:lvlText w:val="%1．"/>
      <w:lvlJc w:val="left"/>
    </w:lvl>
  </w:abstractNum>
  <w:abstractNum w:abstractNumId="7">
    <w:nsid w:val="016D603D"/>
    <w:multiLevelType w:val="hybridMultilevel"/>
    <w:tmpl w:val="8012ABB6"/>
    <w:lvl w:ilvl="0" w:tplc="E6CA859C">
      <w:start w:val="1"/>
      <w:numFmt w:val="bullet"/>
      <w:lvlText w:val=""/>
      <w:lvlJc w:val="left"/>
      <w:pPr>
        <w:tabs>
          <w:tab w:val="num" w:pos="720"/>
        </w:tabs>
        <w:ind w:left="720" w:hanging="360"/>
      </w:pPr>
      <w:rPr>
        <w:rFonts w:ascii="Wingdings" w:hAnsi="Wingdings" w:hint="default"/>
      </w:rPr>
    </w:lvl>
    <w:lvl w:ilvl="1" w:tplc="22AEE0A8" w:tentative="1">
      <w:start w:val="1"/>
      <w:numFmt w:val="bullet"/>
      <w:lvlText w:val=""/>
      <w:lvlJc w:val="left"/>
      <w:pPr>
        <w:tabs>
          <w:tab w:val="num" w:pos="1440"/>
        </w:tabs>
        <w:ind w:left="1440" w:hanging="360"/>
      </w:pPr>
      <w:rPr>
        <w:rFonts w:ascii="Wingdings" w:hAnsi="Wingdings" w:hint="default"/>
      </w:rPr>
    </w:lvl>
    <w:lvl w:ilvl="2" w:tplc="215ADE0E" w:tentative="1">
      <w:start w:val="1"/>
      <w:numFmt w:val="bullet"/>
      <w:lvlText w:val=""/>
      <w:lvlJc w:val="left"/>
      <w:pPr>
        <w:tabs>
          <w:tab w:val="num" w:pos="2160"/>
        </w:tabs>
        <w:ind w:left="2160" w:hanging="360"/>
      </w:pPr>
      <w:rPr>
        <w:rFonts w:ascii="Wingdings" w:hAnsi="Wingdings" w:hint="default"/>
      </w:rPr>
    </w:lvl>
    <w:lvl w:ilvl="3" w:tplc="80BAEA7A" w:tentative="1">
      <w:start w:val="1"/>
      <w:numFmt w:val="bullet"/>
      <w:lvlText w:val=""/>
      <w:lvlJc w:val="left"/>
      <w:pPr>
        <w:tabs>
          <w:tab w:val="num" w:pos="2880"/>
        </w:tabs>
        <w:ind w:left="2880" w:hanging="360"/>
      </w:pPr>
      <w:rPr>
        <w:rFonts w:ascii="Wingdings" w:hAnsi="Wingdings" w:hint="default"/>
      </w:rPr>
    </w:lvl>
    <w:lvl w:ilvl="4" w:tplc="F9746A24" w:tentative="1">
      <w:start w:val="1"/>
      <w:numFmt w:val="bullet"/>
      <w:lvlText w:val=""/>
      <w:lvlJc w:val="left"/>
      <w:pPr>
        <w:tabs>
          <w:tab w:val="num" w:pos="3600"/>
        </w:tabs>
        <w:ind w:left="3600" w:hanging="360"/>
      </w:pPr>
      <w:rPr>
        <w:rFonts w:ascii="Wingdings" w:hAnsi="Wingdings" w:hint="default"/>
      </w:rPr>
    </w:lvl>
    <w:lvl w:ilvl="5" w:tplc="6C22B2DC" w:tentative="1">
      <w:start w:val="1"/>
      <w:numFmt w:val="bullet"/>
      <w:lvlText w:val=""/>
      <w:lvlJc w:val="left"/>
      <w:pPr>
        <w:tabs>
          <w:tab w:val="num" w:pos="4320"/>
        </w:tabs>
        <w:ind w:left="4320" w:hanging="360"/>
      </w:pPr>
      <w:rPr>
        <w:rFonts w:ascii="Wingdings" w:hAnsi="Wingdings" w:hint="default"/>
      </w:rPr>
    </w:lvl>
    <w:lvl w:ilvl="6" w:tplc="15060B5C" w:tentative="1">
      <w:start w:val="1"/>
      <w:numFmt w:val="bullet"/>
      <w:lvlText w:val=""/>
      <w:lvlJc w:val="left"/>
      <w:pPr>
        <w:tabs>
          <w:tab w:val="num" w:pos="5040"/>
        </w:tabs>
        <w:ind w:left="5040" w:hanging="360"/>
      </w:pPr>
      <w:rPr>
        <w:rFonts w:ascii="Wingdings" w:hAnsi="Wingdings" w:hint="default"/>
      </w:rPr>
    </w:lvl>
    <w:lvl w:ilvl="7" w:tplc="4DECBB36" w:tentative="1">
      <w:start w:val="1"/>
      <w:numFmt w:val="bullet"/>
      <w:lvlText w:val=""/>
      <w:lvlJc w:val="left"/>
      <w:pPr>
        <w:tabs>
          <w:tab w:val="num" w:pos="5760"/>
        </w:tabs>
        <w:ind w:left="5760" w:hanging="360"/>
      </w:pPr>
      <w:rPr>
        <w:rFonts w:ascii="Wingdings" w:hAnsi="Wingdings" w:hint="default"/>
      </w:rPr>
    </w:lvl>
    <w:lvl w:ilvl="8" w:tplc="787EF3C2" w:tentative="1">
      <w:start w:val="1"/>
      <w:numFmt w:val="bullet"/>
      <w:lvlText w:val=""/>
      <w:lvlJc w:val="left"/>
      <w:pPr>
        <w:tabs>
          <w:tab w:val="num" w:pos="6480"/>
        </w:tabs>
        <w:ind w:left="6480" w:hanging="360"/>
      </w:pPr>
      <w:rPr>
        <w:rFonts w:ascii="Wingdings" w:hAnsi="Wingdings" w:hint="default"/>
      </w:rPr>
    </w:lvl>
  </w:abstractNum>
  <w:abstractNum w:abstractNumId="8">
    <w:nsid w:val="030C00ED"/>
    <w:multiLevelType w:val="multilevel"/>
    <w:tmpl w:val="C81EDCA4"/>
    <w:lvl w:ilvl="0">
      <w:start w:val="9"/>
      <w:numFmt w:val="decimal"/>
      <w:lvlText w:val="%1"/>
      <w:lvlJc w:val="left"/>
      <w:pPr>
        <w:ind w:left="615" w:hanging="615"/>
      </w:pPr>
      <w:rPr>
        <w:rFonts w:hint="default"/>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43785A"/>
    <w:multiLevelType w:val="hybridMultilevel"/>
    <w:tmpl w:val="334433C8"/>
    <w:lvl w:ilvl="0" w:tplc="83FAAF3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nsid w:val="0AE35D13"/>
    <w:multiLevelType w:val="hybridMultilevel"/>
    <w:tmpl w:val="EE9C739C"/>
    <w:lvl w:ilvl="0" w:tplc="BE289446">
      <w:start w:val="1"/>
      <w:numFmt w:val="bullet"/>
      <w:lvlText w:val=""/>
      <w:lvlJc w:val="left"/>
      <w:pPr>
        <w:tabs>
          <w:tab w:val="num" w:pos="720"/>
        </w:tabs>
        <w:ind w:left="720" w:hanging="360"/>
      </w:pPr>
      <w:rPr>
        <w:rFonts w:ascii="Wingdings" w:hAnsi="Wingdings" w:hint="default"/>
      </w:rPr>
    </w:lvl>
    <w:lvl w:ilvl="1" w:tplc="E9FE3F34" w:tentative="1">
      <w:start w:val="1"/>
      <w:numFmt w:val="bullet"/>
      <w:lvlText w:val=""/>
      <w:lvlJc w:val="left"/>
      <w:pPr>
        <w:tabs>
          <w:tab w:val="num" w:pos="1440"/>
        </w:tabs>
        <w:ind w:left="1440" w:hanging="360"/>
      </w:pPr>
      <w:rPr>
        <w:rFonts w:ascii="Wingdings" w:hAnsi="Wingdings" w:hint="default"/>
      </w:rPr>
    </w:lvl>
    <w:lvl w:ilvl="2" w:tplc="04301B82" w:tentative="1">
      <w:start w:val="1"/>
      <w:numFmt w:val="bullet"/>
      <w:lvlText w:val=""/>
      <w:lvlJc w:val="left"/>
      <w:pPr>
        <w:tabs>
          <w:tab w:val="num" w:pos="2160"/>
        </w:tabs>
        <w:ind w:left="2160" w:hanging="360"/>
      </w:pPr>
      <w:rPr>
        <w:rFonts w:ascii="Wingdings" w:hAnsi="Wingdings" w:hint="default"/>
      </w:rPr>
    </w:lvl>
    <w:lvl w:ilvl="3" w:tplc="9AF413FA" w:tentative="1">
      <w:start w:val="1"/>
      <w:numFmt w:val="bullet"/>
      <w:lvlText w:val=""/>
      <w:lvlJc w:val="left"/>
      <w:pPr>
        <w:tabs>
          <w:tab w:val="num" w:pos="2880"/>
        </w:tabs>
        <w:ind w:left="2880" w:hanging="360"/>
      </w:pPr>
      <w:rPr>
        <w:rFonts w:ascii="Wingdings" w:hAnsi="Wingdings" w:hint="default"/>
      </w:rPr>
    </w:lvl>
    <w:lvl w:ilvl="4" w:tplc="A3E63784" w:tentative="1">
      <w:start w:val="1"/>
      <w:numFmt w:val="bullet"/>
      <w:lvlText w:val=""/>
      <w:lvlJc w:val="left"/>
      <w:pPr>
        <w:tabs>
          <w:tab w:val="num" w:pos="3600"/>
        </w:tabs>
        <w:ind w:left="3600" w:hanging="360"/>
      </w:pPr>
      <w:rPr>
        <w:rFonts w:ascii="Wingdings" w:hAnsi="Wingdings" w:hint="default"/>
      </w:rPr>
    </w:lvl>
    <w:lvl w:ilvl="5" w:tplc="2FCA9FC2" w:tentative="1">
      <w:start w:val="1"/>
      <w:numFmt w:val="bullet"/>
      <w:lvlText w:val=""/>
      <w:lvlJc w:val="left"/>
      <w:pPr>
        <w:tabs>
          <w:tab w:val="num" w:pos="4320"/>
        </w:tabs>
        <w:ind w:left="4320" w:hanging="360"/>
      </w:pPr>
      <w:rPr>
        <w:rFonts w:ascii="Wingdings" w:hAnsi="Wingdings" w:hint="default"/>
      </w:rPr>
    </w:lvl>
    <w:lvl w:ilvl="6" w:tplc="6D780316" w:tentative="1">
      <w:start w:val="1"/>
      <w:numFmt w:val="bullet"/>
      <w:lvlText w:val=""/>
      <w:lvlJc w:val="left"/>
      <w:pPr>
        <w:tabs>
          <w:tab w:val="num" w:pos="5040"/>
        </w:tabs>
        <w:ind w:left="5040" w:hanging="360"/>
      </w:pPr>
      <w:rPr>
        <w:rFonts w:ascii="Wingdings" w:hAnsi="Wingdings" w:hint="default"/>
      </w:rPr>
    </w:lvl>
    <w:lvl w:ilvl="7" w:tplc="D278E254" w:tentative="1">
      <w:start w:val="1"/>
      <w:numFmt w:val="bullet"/>
      <w:lvlText w:val=""/>
      <w:lvlJc w:val="left"/>
      <w:pPr>
        <w:tabs>
          <w:tab w:val="num" w:pos="5760"/>
        </w:tabs>
        <w:ind w:left="5760" w:hanging="360"/>
      </w:pPr>
      <w:rPr>
        <w:rFonts w:ascii="Wingdings" w:hAnsi="Wingdings" w:hint="default"/>
      </w:rPr>
    </w:lvl>
    <w:lvl w:ilvl="8" w:tplc="57583868" w:tentative="1">
      <w:start w:val="1"/>
      <w:numFmt w:val="bullet"/>
      <w:lvlText w:val=""/>
      <w:lvlJc w:val="left"/>
      <w:pPr>
        <w:tabs>
          <w:tab w:val="num" w:pos="6480"/>
        </w:tabs>
        <w:ind w:left="6480" w:hanging="360"/>
      </w:pPr>
      <w:rPr>
        <w:rFonts w:ascii="Wingdings" w:hAnsi="Wingdings" w:hint="default"/>
      </w:rPr>
    </w:lvl>
  </w:abstractNum>
  <w:abstractNum w:abstractNumId="11">
    <w:nsid w:val="0BB54764"/>
    <w:multiLevelType w:val="multilevel"/>
    <w:tmpl w:val="0BB547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3634F8"/>
    <w:multiLevelType w:val="hybridMultilevel"/>
    <w:tmpl w:val="952078AE"/>
    <w:lvl w:ilvl="0" w:tplc="1446494E">
      <w:start w:val="1"/>
      <w:numFmt w:val="bullet"/>
      <w:lvlText w:val=""/>
      <w:lvlJc w:val="left"/>
      <w:pPr>
        <w:tabs>
          <w:tab w:val="num" w:pos="720"/>
        </w:tabs>
        <w:ind w:left="720" w:hanging="360"/>
      </w:pPr>
      <w:rPr>
        <w:rFonts w:ascii="Wingdings" w:hAnsi="Wingdings" w:hint="default"/>
      </w:rPr>
    </w:lvl>
    <w:lvl w:ilvl="1" w:tplc="A380F0A6" w:tentative="1">
      <w:start w:val="1"/>
      <w:numFmt w:val="bullet"/>
      <w:lvlText w:val=""/>
      <w:lvlJc w:val="left"/>
      <w:pPr>
        <w:tabs>
          <w:tab w:val="num" w:pos="1440"/>
        </w:tabs>
        <w:ind w:left="1440" w:hanging="360"/>
      </w:pPr>
      <w:rPr>
        <w:rFonts w:ascii="Wingdings" w:hAnsi="Wingdings" w:hint="default"/>
      </w:rPr>
    </w:lvl>
    <w:lvl w:ilvl="2" w:tplc="AC9A4300" w:tentative="1">
      <w:start w:val="1"/>
      <w:numFmt w:val="bullet"/>
      <w:lvlText w:val=""/>
      <w:lvlJc w:val="left"/>
      <w:pPr>
        <w:tabs>
          <w:tab w:val="num" w:pos="2160"/>
        </w:tabs>
        <w:ind w:left="2160" w:hanging="360"/>
      </w:pPr>
      <w:rPr>
        <w:rFonts w:ascii="Wingdings" w:hAnsi="Wingdings" w:hint="default"/>
      </w:rPr>
    </w:lvl>
    <w:lvl w:ilvl="3" w:tplc="E7D67FC2" w:tentative="1">
      <w:start w:val="1"/>
      <w:numFmt w:val="bullet"/>
      <w:lvlText w:val=""/>
      <w:lvlJc w:val="left"/>
      <w:pPr>
        <w:tabs>
          <w:tab w:val="num" w:pos="2880"/>
        </w:tabs>
        <w:ind w:left="2880" w:hanging="360"/>
      </w:pPr>
      <w:rPr>
        <w:rFonts w:ascii="Wingdings" w:hAnsi="Wingdings" w:hint="default"/>
      </w:rPr>
    </w:lvl>
    <w:lvl w:ilvl="4" w:tplc="A8CAFB54" w:tentative="1">
      <w:start w:val="1"/>
      <w:numFmt w:val="bullet"/>
      <w:lvlText w:val=""/>
      <w:lvlJc w:val="left"/>
      <w:pPr>
        <w:tabs>
          <w:tab w:val="num" w:pos="3600"/>
        </w:tabs>
        <w:ind w:left="3600" w:hanging="360"/>
      </w:pPr>
      <w:rPr>
        <w:rFonts w:ascii="Wingdings" w:hAnsi="Wingdings" w:hint="default"/>
      </w:rPr>
    </w:lvl>
    <w:lvl w:ilvl="5" w:tplc="47D65FF2" w:tentative="1">
      <w:start w:val="1"/>
      <w:numFmt w:val="bullet"/>
      <w:lvlText w:val=""/>
      <w:lvlJc w:val="left"/>
      <w:pPr>
        <w:tabs>
          <w:tab w:val="num" w:pos="4320"/>
        </w:tabs>
        <w:ind w:left="4320" w:hanging="360"/>
      </w:pPr>
      <w:rPr>
        <w:rFonts w:ascii="Wingdings" w:hAnsi="Wingdings" w:hint="default"/>
      </w:rPr>
    </w:lvl>
    <w:lvl w:ilvl="6" w:tplc="4EFA233E" w:tentative="1">
      <w:start w:val="1"/>
      <w:numFmt w:val="bullet"/>
      <w:lvlText w:val=""/>
      <w:lvlJc w:val="left"/>
      <w:pPr>
        <w:tabs>
          <w:tab w:val="num" w:pos="5040"/>
        </w:tabs>
        <w:ind w:left="5040" w:hanging="360"/>
      </w:pPr>
      <w:rPr>
        <w:rFonts w:ascii="Wingdings" w:hAnsi="Wingdings" w:hint="default"/>
      </w:rPr>
    </w:lvl>
    <w:lvl w:ilvl="7" w:tplc="653036DC" w:tentative="1">
      <w:start w:val="1"/>
      <w:numFmt w:val="bullet"/>
      <w:lvlText w:val=""/>
      <w:lvlJc w:val="left"/>
      <w:pPr>
        <w:tabs>
          <w:tab w:val="num" w:pos="5760"/>
        </w:tabs>
        <w:ind w:left="5760" w:hanging="360"/>
      </w:pPr>
      <w:rPr>
        <w:rFonts w:ascii="Wingdings" w:hAnsi="Wingdings" w:hint="default"/>
      </w:rPr>
    </w:lvl>
    <w:lvl w:ilvl="8" w:tplc="097AF4B6" w:tentative="1">
      <w:start w:val="1"/>
      <w:numFmt w:val="bullet"/>
      <w:lvlText w:val=""/>
      <w:lvlJc w:val="left"/>
      <w:pPr>
        <w:tabs>
          <w:tab w:val="num" w:pos="6480"/>
        </w:tabs>
        <w:ind w:left="6480" w:hanging="360"/>
      </w:pPr>
      <w:rPr>
        <w:rFonts w:ascii="Wingdings" w:hAnsi="Wingdings" w:hint="default"/>
      </w:rPr>
    </w:lvl>
  </w:abstractNum>
  <w:abstractNum w:abstractNumId="13">
    <w:nsid w:val="1C121BC2"/>
    <w:multiLevelType w:val="hybridMultilevel"/>
    <w:tmpl w:val="0B5868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322DD5"/>
    <w:multiLevelType w:val="hybridMultilevel"/>
    <w:tmpl w:val="E64A3A2A"/>
    <w:lvl w:ilvl="0" w:tplc="E9889C46">
      <w:start w:val="1"/>
      <w:numFmt w:val="bullet"/>
      <w:lvlText w:val=""/>
      <w:lvlJc w:val="left"/>
      <w:pPr>
        <w:tabs>
          <w:tab w:val="num" w:pos="720"/>
        </w:tabs>
        <w:ind w:left="720" w:hanging="360"/>
      </w:pPr>
      <w:rPr>
        <w:rFonts w:ascii="Wingdings" w:hAnsi="Wingdings" w:hint="default"/>
      </w:rPr>
    </w:lvl>
    <w:lvl w:ilvl="1" w:tplc="BDE6BF5E" w:tentative="1">
      <w:start w:val="1"/>
      <w:numFmt w:val="bullet"/>
      <w:lvlText w:val=""/>
      <w:lvlJc w:val="left"/>
      <w:pPr>
        <w:tabs>
          <w:tab w:val="num" w:pos="1440"/>
        </w:tabs>
        <w:ind w:left="1440" w:hanging="360"/>
      </w:pPr>
      <w:rPr>
        <w:rFonts w:ascii="Wingdings" w:hAnsi="Wingdings" w:hint="default"/>
      </w:rPr>
    </w:lvl>
    <w:lvl w:ilvl="2" w:tplc="F8E27DFE" w:tentative="1">
      <w:start w:val="1"/>
      <w:numFmt w:val="bullet"/>
      <w:lvlText w:val=""/>
      <w:lvlJc w:val="left"/>
      <w:pPr>
        <w:tabs>
          <w:tab w:val="num" w:pos="2160"/>
        </w:tabs>
        <w:ind w:left="2160" w:hanging="360"/>
      </w:pPr>
      <w:rPr>
        <w:rFonts w:ascii="Wingdings" w:hAnsi="Wingdings" w:hint="default"/>
      </w:rPr>
    </w:lvl>
    <w:lvl w:ilvl="3" w:tplc="FD64A494" w:tentative="1">
      <w:start w:val="1"/>
      <w:numFmt w:val="bullet"/>
      <w:lvlText w:val=""/>
      <w:lvlJc w:val="left"/>
      <w:pPr>
        <w:tabs>
          <w:tab w:val="num" w:pos="2880"/>
        </w:tabs>
        <w:ind w:left="2880" w:hanging="360"/>
      </w:pPr>
      <w:rPr>
        <w:rFonts w:ascii="Wingdings" w:hAnsi="Wingdings" w:hint="default"/>
      </w:rPr>
    </w:lvl>
    <w:lvl w:ilvl="4" w:tplc="56DEF28E" w:tentative="1">
      <w:start w:val="1"/>
      <w:numFmt w:val="bullet"/>
      <w:lvlText w:val=""/>
      <w:lvlJc w:val="left"/>
      <w:pPr>
        <w:tabs>
          <w:tab w:val="num" w:pos="3600"/>
        </w:tabs>
        <w:ind w:left="3600" w:hanging="360"/>
      </w:pPr>
      <w:rPr>
        <w:rFonts w:ascii="Wingdings" w:hAnsi="Wingdings" w:hint="default"/>
      </w:rPr>
    </w:lvl>
    <w:lvl w:ilvl="5" w:tplc="C4768CEC" w:tentative="1">
      <w:start w:val="1"/>
      <w:numFmt w:val="bullet"/>
      <w:lvlText w:val=""/>
      <w:lvlJc w:val="left"/>
      <w:pPr>
        <w:tabs>
          <w:tab w:val="num" w:pos="4320"/>
        </w:tabs>
        <w:ind w:left="4320" w:hanging="360"/>
      </w:pPr>
      <w:rPr>
        <w:rFonts w:ascii="Wingdings" w:hAnsi="Wingdings" w:hint="default"/>
      </w:rPr>
    </w:lvl>
    <w:lvl w:ilvl="6" w:tplc="9AD2D40C" w:tentative="1">
      <w:start w:val="1"/>
      <w:numFmt w:val="bullet"/>
      <w:lvlText w:val=""/>
      <w:lvlJc w:val="left"/>
      <w:pPr>
        <w:tabs>
          <w:tab w:val="num" w:pos="5040"/>
        </w:tabs>
        <w:ind w:left="5040" w:hanging="360"/>
      </w:pPr>
      <w:rPr>
        <w:rFonts w:ascii="Wingdings" w:hAnsi="Wingdings" w:hint="default"/>
      </w:rPr>
    </w:lvl>
    <w:lvl w:ilvl="7" w:tplc="4B78AC7C" w:tentative="1">
      <w:start w:val="1"/>
      <w:numFmt w:val="bullet"/>
      <w:lvlText w:val=""/>
      <w:lvlJc w:val="left"/>
      <w:pPr>
        <w:tabs>
          <w:tab w:val="num" w:pos="5760"/>
        </w:tabs>
        <w:ind w:left="5760" w:hanging="360"/>
      </w:pPr>
      <w:rPr>
        <w:rFonts w:ascii="Wingdings" w:hAnsi="Wingdings" w:hint="default"/>
      </w:rPr>
    </w:lvl>
    <w:lvl w:ilvl="8" w:tplc="A1607902" w:tentative="1">
      <w:start w:val="1"/>
      <w:numFmt w:val="bullet"/>
      <w:lvlText w:val=""/>
      <w:lvlJc w:val="left"/>
      <w:pPr>
        <w:tabs>
          <w:tab w:val="num" w:pos="6480"/>
        </w:tabs>
        <w:ind w:left="6480" w:hanging="360"/>
      </w:pPr>
      <w:rPr>
        <w:rFonts w:ascii="Wingdings" w:hAnsi="Wingdings" w:hint="default"/>
      </w:rPr>
    </w:lvl>
  </w:abstractNum>
  <w:abstractNum w:abstractNumId="15">
    <w:nsid w:val="1E780CC7"/>
    <w:multiLevelType w:val="hybridMultilevel"/>
    <w:tmpl w:val="AF468870"/>
    <w:lvl w:ilvl="0" w:tplc="93EC4F4C">
      <w:start w:val="1"/>
      <w:numFmt w:val="bullet"/>
      <w:lvlText w:val=""/>
      <w:lvlJc w:val="left"/>
      <w:pPr>
        <w:tabs>
          <w:tab w:val="num" w:pos="720"/>
        </w:tabs>
        <w:ind w:left="720" w:hanging="360"/>
      </w:pPr>
      <w:rPr>
        <w:rFonts w:ascii="Wingdings" w:hAnsi="Wingdings" w:hint="default"/>
      </w:rPr>
    </w:lvl>
    <w:lvl w:ilvl="1" w:tplc="AD96F8B0" w:tentative="1">
      <w:start w:val="1"/>
      <w:numFmt w:val="bullet"/>
      <w:lvlText w:val=""/>
      <w:lvlJc w:val="left"/>
      <w:pPr>
        <w:tabs>
          <w:tab w:val="num" w:pos="1440"/>
        </w:tabs>
        <w:ind w:left="1440" w:hanging="360"/>
      </w:pPr>
      <w:rPr>
        <w:rFonts w:ascii="Wingdings" w:hAnsi="Wingdings" w:hint="default"/>
      </w:rPr>
    </w:lvl>
    <w:lvl w:ilvl="2" w:tplc="06042268" w:tentative="1">
      <w:start w:val="1"/>
      <w:numFmt w:val="bullet"/>
      <w:lvlText w:val=""/>
      <w:lvlJc w:val="left"/>
      <w:pPr>
        <w:tabs>
          <w:tab w:val="num" w:pos="2160"/>
        </w:tabs>
        <w:ind w:left="2160" w:hanging="360"/>
      </w:pPr>
      <w:rPr>
        <w:rFonts w:ascii="Wingdings" w:hAnsi="Wingdings" w:hint="default"/>
      </w:rPr>
    </w:lvl>
    <w:lvl w:ilvl="3" w:tplc="4A680F6A" w:tentative="1">
      <w:start w:val="1"/>
      <w:numFmt w:val="bullet"/>
      <w:lvlText w:val=""/>
      <w:lvlJc w:val="left"/>
      <w:pPr>
        <w:tabs>
          <w:tab w:val="num" w:pos="2880"/>
        </w:tabs>
        <w:ind w:left="2880" w:hanging="360"/>
      </w:pPr>
      <w:rPr>
        <w:rFonts w:ascii="Wingdings" w:hAnsi="Wingdings" w:hint="default"/>
      </w:rPr>
    </w:lvl>
    <w:lvl w:ilvl="4" w:tplc="93B4080C" w:tentative="1">
      <w:start w:val="1"/>
      <w:numFmt w:val="bullet"/>
      <w:lvlText w:val=""/>
      <w:lvlJc w:val="left"/>
      <w:pPr>
        <w:tabs>
          <w:tab w:val="num" w:pos="3600"/>
        </w:tabs>
        <w:ind w:left="3600" w:hanging="360"/>
      </w:pPr>
      <w:rPr>
        <w:rFonts w:ascii="Wingdings" w:hAnsi="Wingdings" w:hint="default"/>
      </w:rPr>
    </w:lvl>
    <w:lvl w:ilvl="5" w:tplc="0B3C656C" w:tentative="1">
      <w:start w:val="1"/>
      <w:numFmt w:val="bullet"/>
      <w:lvlText w:val=""/>
      <w:lvlJc w:val="left"/>
      <w:pPr>
        <w:tabs>
          <w:tab w:val="num" w:pos="4320"/>
        </w:tabs>
        <w:ind w:left="4320" w:hanging="360"/>
      </w:pPr>
      <w:rPr>
        <w:rFonts w:ascii="Wingdings" w:hAnsi="Wingdings" w:hint="default"/>
      </w:rPr>
    </w:lvl>
    <w:lvl w:ilvl="6" w:tplc="708C033C" w:tentative="1">
      <w:start w:val="1"/>
      <w:numFmt w:val="bullet"/>
      <w:lvlText w:val=""/>
      <w:lvlJc w:val="left"/>
      <w:pPr>
        <w:tabs>
          <w:tab w:val="num" w:pos="5040"/>
        </w:tabs>
        <w:ind w:left="5040" w:hanging="360"/>
      </w:pPr>
      <w:rPr>
        <w:rFonts w:ascii="Wingdings" w:hAnsi="Wingdings" w:hint="default"/>
      </w:rPr>
    </w:lvl>
    <w:lvl w:ilvl="7" w:tplc="86445E84" w:tentative="1">
      <w:start w:val="1"/>
      <w:numFmt w:val="bullet"/>
      <w:lvlText w:val=""/>
      <w:lvlJc w:val="left"/>
      <w:pPr>
        <w:tabs>
          <w:tab w:val="num" w:pos="5760"/>
        </w:tabs>
        <w:ind w:left="5760" w:hanging="360"/>
      </w:pPr>
      <w:rPr>
        <w:rFonts w:ascii="Wingdings" w:hAnsi="Wingdings" w:hint="default"/>
      </w:rPr>
    </w:lvl>
    <w:lvl w:ilvl="8" w:tplc="6682FA8A" w:tentative="1">
      <w:start w:val="1"/>
      <w:numFmt w:val="bullet"/>
      <w:lvlText w:val=""/>
      <w:lvlJc w:val="left"/>
      <w:pPr>
        <w:tabs>
          <w:tab w:val="num" w:pos="6480"/>
        </w:tabs>
        <w:ind w:left="6480" w:hanging="360"/>
      </w:pPr>
      <w:rPr>
        <w:rFonts w:ascii="Wingdings" w:hAnsi="Wingdings" w:hint="default"/>
      </w:rPr>
    </w:lvl>
  </w:abstractNum>
  <w:abstractNum w:abstractNumId="16">
    <w:nsid w:val="223E553C"/>
    <w:multiLevelType w:val="hybridMultilevel"/>
    <w:tmpl w:val="3D24F93A"/>
    <w:lvl w:ilvl="0" w:tplc="E92244AA">
      <w:start w:val="1"/>
      <w:numFmt w:val="bullet"/>
      <w:lvlText w:val=""/>
      <w:lvlJc w:val="left"/>
      <w:pPr>
        <w:tabs>
          <w:tab w:val="num" w:pos="720"/>
        </w:tabs>
        <w:ind w:left="720" w:hanging="360"/>
      </w:pPr>
      <w:rPr>
        <w:rFonts w:ascii="Wingdings" w:hAnsi="Wingdings" w:hint="default"/>
      </w:rPr>
    </w:lvl>
    <w:lvl w:ilvl="1" w:tplc="A91C206E" w:tentative="1">
      <w:start w:val="1"/>
      <w:numFmt w:val="bullet"/>
      <w:lvlText w:val=""/>
      <w:lvlJc w:val="left"/>
      <w:pPr>
        <w:tabs>
          <w:tab w:val="num" w:pos="1440"/>
        </w:tabs>
        <w:ind w:left="1440" w:hanging="360"/>
      </w:pPr>
      <w:rPr>
        <w:rFonts w:ascii="Wingdings" w:hAnsi="Wingdings" w:hint="default"/>
      </w:rPr>
    </w:lvl>
    <w:lvl w:ilvl="2" w:tplc="8D1CD450" w:tentative="1">
      <w:start w:val="1"/>
      <w:numFmt w:val="bullet"/>
      <w:lvlText w:val=""/>
      <w:lvlJc w:val="left"/>
      <w:pPr>
        <w:tabs>
          <w:tab w:val="num" w:pos="2160"/>
        </w:tabs>
        <w:ind w:left="2160" w:hanging="360"/>
      </w:pPr>
      <w:rPr>
        <w:rFonts w:ascii="Wingdings" w:hAnsi="Wingdings" w:hint="default"/>
      </w:rPr>
    </w:lvl>
    <w:lvl w:ilvl="3" w:tplc="A1F48968" w:tentative="1">
      <w:start w:val="1"/>
      <w:numFmt w:val="bullet"/>
      <w:lvlText w:val=""/>
      <w:lvlJc w:val="left"/>
      <w:pPr>
        <w:tabs>
          <w:tab w:val="num" w:pos="2880"/>
        </w:tabs>
        <w:ind w:left="2880" w:hanging="360"/>
      </w:pPr>
      <w:rPr>
        <w:rFonts w:ascii="Wingdings" w:hAnsi="Wingdings" w:hint="default"/>
      </w:rPr>
    </w:lvl>
    <w:lvl w:ilvl="4" w:tplc="EA4E4A52" w:tentative="1">
      <w:start w:val="1"/>
      <w:numFmt w:val="bullet"/>
      <w:lvlText w:val=""/>
      <w:lvlJc w:val="left"/>
      <w:pPr>
        <w:tabs>
          <w:tab w:val="num" w:pos="3600"/>
        </w:tabs>
        <w:ind w:left="3600" w:hanging="360"/>
      </w:pPr>
      <w:rPr>
        <w:rFonts w:ascii="Wingdings" w:hAnsi="Wingdings" w:hint="default"/>
      </w:rPr>
    </w:lvl>
    <w:lvl w:ilvl="5" w:tplc="BB86BE3E" w:tentative="1">
      <w:start w:val="1"/>
      <w:numFmt w:val="bullet"/>
      <w:lvlText w:val=""/>
      <w:lvlJc w:val="left"/>
      <w:pPr>
        <w:tabs>
          <w:tab w:val="num" w:pos="4320"/>
        </w:tabs>
        <w:ind w:left="4320" w:hanging="360"/>
      </w:pPr>
      <w:rPr>
        <w:rFonts w:ascii="Wingdings" w:hAnsi="Wingdings" w:hint="default"/>
      </w:rPr>
    </w:lvl>
    <w:lvl w:ilvl="6" w:tplc="E97CF76A" w:tentative="1">
      <w:start w:val="1"/>
      <w:numFmt w:val="bullet"/>
      <w:lvlText w:val=""/>
      <w:lvlJc w:val="left"/>
      <w:pPr>
        <w:tabs>
          <w:tab w:val="num" w:pos="5040"/>
        </w:tabs>
        <w:ind w:left="5040" w:hanging="360"/>
      </w:pPr>
      <w:rPr>
        <w:rFonts w:ascii="Wingdings" w:hAnsi="Wingdings" w:hint="default"/>
      </w:rPr>
    </w:lvl>
    <w:lvl w:ilvl="7" w:tplc="4C7451E4" w:tentative="1">
      <w:start w:val="1"/>
      <w:numFmt w:val="bullet"/>
      <w:lvlText w:val=""/>
      <w:lvlJc w:val="left"/>
      <w:pPr>
        <w:tabs>
          <w:tab w:val="num" w:pos="5760"/>
        </w:tabs>
        <w:ind w:left="5760" w:hanging="360"/>
      </w:pPr>
      <w:rPr>
        <w:rFonts w:ascii="Wingdings" w:hAnsi="Wingdings" w:hint="default"/>
      </w:rPr>
    </w:lvl>
    <w:lvl w:ilvl="8" w:tplc="078495BA" w:tentative="1">
      <w:start w:val="1"/>
      <w:numFmt w:val="bullet"/>
      <w:lvlText w:val=""/>
      <w:lvlJc w:val="left"/>
      <w:pPr>
        <w:tabs>
          <w:tab w:val="num" w:pos="6480"/>
        </w:tabs>
        <w:ind w:left="6480" w:hanging="360"/>
      </w:pPr>
      <w:rPr>
        <w:rFonts w:ascii="Wingdings" w:hAnsi="Wingdings" w:hint="default"/>
      </w:rPr>
    </w:lvl>
  </w:abstractNum>
  <w:abstractNum w:abstractNumId="17">
    <w:nsid w:val="23DB2FD5"/>
    <w:multiLevelType w:val="multilevel"/>
    <w:tmpl w:val="23DB2F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25F61F7A"/>
    <w:multiLevelType w:val="singleLevel"/>
    <w:tmpl w:val="25F61F7A"/>
    <w:lvl w:ilvl="0">
      <w:start w:val="3"/>
      <w:numFmt w:val="chineseCounting"/>
      <w:suff w:val="nothing"/>
      <w:lvlText w:val="%1、"/>
      <w:lvlJc w:val="left"/>
      <w:rPr>
        <w:rFonts w:hint="eastAsia"/>
      </w:rPr>
    </w:lvl>
  </w:abstractNum>
  <w:abstractNum w:abstractNumId="19">
    <w:nsid w:val="275C2DBD"/>
    <w:multiLevelType w:val="hybridMultilevel"/>
    <w:tmpl w:val="AFEEEC5E"/>
    <w:lvl w:ilvl="0" w:tplc="7F127512">
      <w:start w:val="1"/>
      <w:numFmt w:val="bullet"/>
      <w:lvlText w:val=""/>
      <w:lvlJc w:val="left"/>
      <w:pPr>
        <w:tabs>
          <w:tab w:val="num" w:pos="720"/>
        </w:tabs>
        <w:ind w:left="720" w:hanging="360"/>
      </w:pPr>
      <w:rPr>
        <w:rFonts w:ascii="Wingdings" w:hAnsi="Wingdings" w:hint="default"/>
      </w:rPr>
    </w:lvl>
    <w:lvl w:ilvl="1" w:tplc="9FA4E064" w:tentative="1">
      <w:start w:val="1"/>
      <w:numFmt w:val="bullet"/>
      <w:lvlText w:val=""/>
      <w:lvlJc w:val="left"/>
      <w:pPr>
        <w:tabs>
          <w:tab w:val="num" w:pos="1440"/>
        </w:tabs>
        <w:ind w:left="1440" w:hanging="360"/>
      </w:pPr>
      <w:rPr>
        <w:rFonts w:ascii="Wingdings" w:hAnsi="Wingdings" w:hint="default"/>
      </w:rPr>
    </w:lvl>
    <w:lvl w:ilvl="2" w:tplc="F43E7AC0" w:tentative="1">
      <w:start w:val="1"/>
      <w:numFmt w:val="bullet"/>
      <w:lvlText w:val=""/>
      <w:lvlJc w:val="left"/>
      <w:pPr>
        <w:tabs>
          <w:tab w:val="num" w:pos="2160"/>
        </w:tabs>
        <w:ind w:left="2160" w:hanging="360"/>
      </w:pPr>
      <w:rPr>
        <w:rFonts w:ascii="Wingdings" w:hAnsi="Wingdings" w:hint="default"/>
      </w:rPr>
    </w:lvl>
    <w:lvl w:ilvl="3" w:tplc="7B0A9C4A" w:tentative="1">
      <w:start w:val="1"/>
      <w:numFmt w:val="bullet"/>
      <w:lvlText w:val=""/>
      <w:lvlJc w:val="left"/>
      <w:pPr>
        <w:tabs>
          <w:tab w:val="num" w:pos="2880"/>
        </w:tabs>
        <w:ind w:left="2880" w:hanging="360"/>
      </w:pPr>
      <w:rPr>
        <w:rFonts w:ascii="Wingdings" w:hAnsi="Wingdings" w:hint="default"/>
      </w:rPr>
    </w:lvl>
    <w:lvl w:ilvl="4" w:tplc="55840D5C" w:tentative="1">
      <w:start w:val="1"/>
      <w:numFmt w:val="bullet"/>
      <w:lvlText w:val=""/>
      <w:lvlJc w:val="left"/>
      <w:pPr>
        <w:tabs>
          <w:tab w:val="num" w:pos="3600"/>
        </w:tabs>
        <w:ind w:left="3600" w:hanging="360"/>
      </w:pPr>
      <w:rPr>
        <w:rFonts w:ascii="Wingdings" w:hAnsi="Wingdings" w:hint="default"/>
      </w:rPr>
    </w:lvl>
    <w:lvl w:ilvl="5" w:tplc="E90E3AE8" w:tentative="1">
      <w:start w:val="1"/>
      <w:numFmt w:val="bullet"/>
      <w:lvlText w:val=""/>
      <w:lvlJc w:val="left"/>
      <w:pPr>
        <w:tabs>
          <w:tab w:val="num" w:pos="4320"/>
        </w:tabs>
        <w:ind w:left="4320" w:hanging="360"/>
      </w:pPr>
      <w:rPr>
        <w:rFonts w:ascii="Wingdings" w:hAnsi="Wingdings" w:hint="default"/>
      </w:rPr>
    </w:lvl>
    <w:lvl w:ilvl="6" w:tplc="3D683BEC" w:tentative="1">
      <w:start w:val="1"/>
      <w:numFmt w:val="bullet"/>
      <w:lvlText w:val=""/>
      <w:lvlJc w:val="left"/>
      <w:pPr>
        <w:tabs>
          <w:tab w:val="num" w:pos="5040"/>
        </w:tabs>
        <w:ind w:left="5040" w:hanging="360"/>
      </w:pPr>
      <w:rPr>
        <w:rFonts w:ascii="Wingdings" w:hAnsi="Wingdings" w:hint="default"/>
      </w:rPr>
    </w:lvl>
    <w:lvl w:ilvl="7" w:tplc="211238AA" w:tentative="1">
      <w:start w:val="1"/>
      <w:numFmt w:val="bullet"/>
      <w:lvlText w:val=""/>
      <w:lvlJc w:val="left"/>
      <w:pPr>
        <w:tabs>
          <w:tab w:val="num" w:pos="5760"/>
        </w:tabs>
        <w:ind w:left="5760" w:hanging="360"/>
      </w:pPr>
      <w:rPr>
        <w:rFonts w:ascii="Wingdings" w:hAnsi="Wingdings" w:hint="default"/>
      </w:rPr>
    </w:lvl>
    <w:lvl w:ilvl="8" w:tplc="4C62E4FA" w:tentative="1">
      <w:start w:val="1"/>
      <w:numFmt w:val="bullet"/>
      <w:lvlText w:val=""/>
      <w:lvlJc w:val="left"/>
      <w:pPr>
        <w:tabs>
          <w:tab w:val="num" w:pos="6480"/>
        </w:tabs>
        <w:ind w:left="6480" w:hanging="360"/>
      </w:pPr>
      <w:rPr>
        <w:rFonts w:ascii="Wingdings" w:hAnsi="Wingdings" w:hint="default"/>
      </w:rPr>
    </w:lvl>
  </w:abstractNum>
  <w:abstractNum w:abstractNumId="20">
    <w:nsid w:val="2BA47F6B"/>
    <w:multiLevelType w:val="hybridMultilevel"/>
    <w:tmpl w:val="257453F0"/>
    <w:lvl w:ilvl="0" w:tplc="23FE240C">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BC32079"/>
    <w:multiLevelType w:val="multilevel"/>
    <w:tmpl w:val="2BC320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FE00C9"/>
    <w:multiLevelType w:val="hybridMultilevel"/>
    <w:tmpl w:val="8FB23B8A"/>
    <w:lvl w:ilvl="0" w:tplc="956E1662">
      <w:start w:val="1"/>
      <w:numFmt w:val="bullet"/>
      <w:lvlText w:val=""/>
      <w:lvlJc w:val="left"/>
      <w:pPr>
        <w:tabs>
          <w:tab w:val="num" w:pos="720"/>
        </w:tabs>
        <w:ind w:left="720" w:hanging="360"/>
      </w:pPr>
      <w:rPr>
        <w:rFonts w:ascii="Wingdings" w:hAnsi="Wingdings" w:hint="default"/>
      </w:rPr>
    </w:lvl>
    <w:lvl w:ilvl="1" w:tplc="094E3DE0" w:tentative="1">
      <w:start w:val="1"/>
      <w:numFmt w:val="bullet"/>
      <w:lvlText w:val=""/>
      <w:lvlJc w:val="left"/>
      <w:pPr>
        <w:tabs>
          <w:tab w:val="num" w:pos="1440"/>
        </w:tabs>
        <w:ind w:left="1440" w:hanging="360"/>
      </w:pPr>
      <w:rPr>
        <w:rFonts w:ascii="Wingdings" w:hAnsi="Wingdings" w:hint="default"/>
      </w:rPr>
    </w:lvl>
    <w:lvl w:ilvl="2" w:tplc="15803042" w:tentative="1">
      <w:start w:val="1"/>
      <w:numFmt w:val="bullet"/>
      <w:lvlText w:val=""/>
      <w:lvlJc w:val="left"/>
      <w:pPr>
        <w:tabs>
          <w:tab w:val="num" w:pos="2160"/>
        </w:tabs>
        <w:ind w:left="2160" w:hanging="360"/>
      </w:pPr>
      <w:rPr>
        <w:rFonts w:ascii="Wingdings" w:hAnsi="Wingdings" w:hint="default"/>
      </w:rPr>
    </w:lvl>
    <w:lvl w:ilvl="3" w:tplc="A9A46F60" w:tentative="1">
      <w:start w:val="1"/>
      <w:numFmt w:val="bullet"/>
      <w:lvlText w:val=""/>
      <w:lvlJc w:val="left"/>
      <w:pPr>
        <w:tabs>
          <w:tab w:val="num" w:pos="2880"/>
        </w:tabs>
        <w:ind w:left="2880" w:hanging="360"/>
      </w:pPr>
      <w:rPr>
        <w:rFonts w:ascii="Wingdings" w:hAnsi="Wingdings" w:hint="default"/>
      </w:rPr>
    </w:lvl>
    <w:lvl w:ilvl="4" w:tplc="4328A35E" w:tentative="1">
      <w:start w:val="1"/>
      <w:numFmt w:val="bullet"/>
      <w:lvlText w:val=""/>
      <w:lvlJc w:val="left"/>
      <w:pPr>
        <w:tabs>
          <w:tab w:val="num" w:pos="3600"/>
        </w:tabs>
        <w:ind w:left="3600" w:hanging="360"/>
      </w:pPr>
      <w:rPr>
        <w:rFonts w:ascii="Wingdings" w:hAnsi="Wingdings" w:hint="default"/>
      </w:rPr>
    </w:lvl>
    <w:lvl w:ilvl="5" w:tplc="F2429720" w:tentative="1">
      <w:start w:val="1"/>
      <w:numFmt w:val="bullet"/>
      <w:lvlText w:val=""/>
      <w:lvlJc w:val="left"/>
      <w:pPr>
        <w:tabs>
          <w:tab w:val="num" w:pos="4320"/>
        </w:tabs>
        <w:ind w:left="4320" w:hanging="360"/>
      </w:pPr>
      <w:rPr>
        <w:rFonts w:ascii="Wingdings" w:hAnsi="Wingdings" w:hint="default"/>
      </w:rPr>
    </w:lvl>
    <w:lvl w:ilvl="6" w:tplc="33FCD464" w:tentative="1">
      <w:start w:val="1"/>
      <w:numFmt w:val="bullet"/>
      <w:lvlText w:val=""/>
      <w:lvlJc w:val="left"/>
      <w:pPr>
        <w:tabs>
          <w:tab w:val="num" w:pos="5040"/>
        </w:tabs>
        <w:ind w:left="5040" w:hanging="360"/>
      </w:pPr>
      <w:rPr>
        <w:rFonts w:ascii="Wingdings" w:hAnsi="Wingdings" w:hint="default"/>
      </w:rPr>
    </w:lvl>
    <w:lvl w:ilvl="7" w:tplc="89D6799A" w:tentative="1">
      <w:start w:val="1"/>
      <w:numFmt w:val="bullet"/>
      <w:lvlText w:val=""/>
      <w:lvlJc w:val="left"/>
      <w:pPr>
        <w:tabs>
          <w:tab w:val="num" w:pos="5760"/>
        </w:tabs>
        <w:ind w:left="5760" w:hanging="360"/>
      </w:pPr>
      <w:rPr>
        <w:rFonts w:ascii="Wingdings" w:hAnsi="Wingdings" w:hint="default"/>
      </w:rPr>
    </w:lvl>
    <w:lvl w:ilvl="8" w:tplc="9A5A0C9A" w:tentative="1">
      <w:start w:val="1"/>
      <w:numFmt w:val="bullet"/>
      <w:lvlText w:val=""/>
      <w:lvlJc w:val="left"/>
      <w:pPr>
        <w:tabs>
          <w:tab w:val="num" w:pos="6480"/>
        </w:tabs>
        <w:ind w:left="6480" w:hanging="360"/>
      </w:pPr>
      <w:rPr>
        <w:rFonts w:ascii="Wingdings" w:hAnsi="Wingdings" w:hint="default"/>
      </w:rPr>
    </w:lvl>
  </w:abstractNum>
  <w:abstractNum w:abstractNumId="23">
    <w:nsid w:val="36AF1946"/>
    <w:multiLevelType w:val="hybridMultilevel"/>
    <w:tmpl w:val="90382736"/>
    <w:lvl w:ilvl="0" w:tplc="A97EBE02">
      <w:start w:val="1"/>
      <w:numFmt w:val="bullet"/>
      <w:lvlText w:val=""/>
      <w:lvlJc w:val="left"/>
      <w:pPr>
        <w:tabs>
          <w:tab w:val="num" w:pos="720"/>
        </w:tabs>
        <w:ind w:left="720" w:hanging="360"/>
      </w:pPr>
      <w:rPr>
        <w:rFonts w:ascii="Wingdings" w:hAnsi="Wingdings" w:hint="default"/>
      </w:rPr>
    </w:lvl>
    <w:lvl w:ilvl="1" w:tplc="D638AEAA" w:tentative="1">
      <w:start w:val="1"/>
      <w:numFmt w:val="bullet"/>
      <w:lvlText w:val=""/>
      <w:lvlJc w:val="left"/>
      <w:pPr>
        <w:tabs>
          <w:tab w:val="num" w:pos="1440"/>
        </w:tabs>
        <w:ind w:left="1440" w:hanging="360"/>
      </w:pPr>
      <w:rPr>
        <w:rFonts w:ascii="Wingdings" w:hAnsi="Wingdings" w:hint="default"/>
      </w:rPr>
    </w:lvl>
    <w:lvl w:ilvl="2" w:tplc="2FCAB426" w:tentative="1">
      <w:start w:val="1"/>
      <w:numFmt w:val="bullet"/>
      <w:lvlText w:val=""/>
      <w:lvlJc w:val="left"/>
      <w:pPr>
        <w:tabs>
          <w:tab w:val="num" w:pos="2160"/>
        </w:tabs>
        <w:ind w:left="2160" w:hanging="360"/>
      </w:pPr>
      <w:rPr>
        <w:rFonts w:ascii="Wingdings" w:hAnsi="Wingdings" w:hint="default"/>
      </w:rPr>
    </w:lvl>
    <w:lvl w:ilvl="3" w:tplc="A5CE3B08" w:tentative="1">
      <w:start w:val="1"/>
      <w:numFmt w:val="bullet"/>
      <w:lvlText w:val=""/>
      <w:lvlJc w:val="left"/>
      <w:pPr>
        <w:tabs>
          <w:tab w:val="num" w:pos="2880"/>
        </w:tabs>
        <w:ind w:left="2880" w:hanging="360"/>
      </w:pPr>
      <w:rPr>
        <w:rFonts w:ascii="Wingdings" w:hAnsi="Wingdings" w:hint="default"/>
      </w:rPr>
    </w:lvl>
    <w:lvl w:ilvl="4" w:tplc="0922BB3A" w:tentative="1">
      <w:start w:val="1"/>
      <w:numFmt w:val="bullet"/>
      <w:lvlText w:val=""/>
      <w:lvlJc w:val="left"/>
      <w:pPr>
        <w:tabs>
          <w:tab w:val="num" w:pos="3600"/>
        </w:tabs>
        <w:ind w:left="3600" w:hanging="360"/>
      </w:pPr>
      <w:rPr>
        <w:rFonts w:ascii="Wingdings" w:hAnsi="Wingdings" w:hint="default"/>
      </w:rPr>
    </w:lvl>
    <w:lvl w:ilvl="5" w:tplc="557AC598" w:tentative="1">
      <w:start w:val="1"/>
      <w:numFmt w:val="bullet"/>
      <w:lvlText w:val=""/>
      <w:lvlJc w:val="left"/>
      <w:pPr>
        <w:tabs>
          <w:tab w:val="num" w:pos="4320"/>
        </w:tabs>
        <w:ind w:left="4320" w:hanging="360"/>
      </w:pPr>
      <w:rPr>
        <w:rFonts w:ascii="Wingdings" w:hAnsi="Wingdings" w:hint="default"/>
      </w:rPr>
    </w:lvl>
    <w:lvl w:ilvl="6" w:tplc="D8C82CB4" w:tentative="1">
      <w:start w:val="1"/>
      <w:numFmt w:val="bullet"/>
      <w:lvlText w:val=""/>
      <w:lvlJc w:val="left"/>
      <w:pPr>
        <w:tabs>
          <w:tab w:val="num" w:pos="5040"/>
        </w:tabs>
        <w:ind w:left="5040" w:hanging="360"/>
      </w:pPr>
      <w:rPr>
        <w:rFonts w:ascii="Wingdings" w:hAnsi="Wingdings" w:hint="default"/>
      </w:rPr>
    </w:lvl>
    <w:lvl w:ilvl="7" w:tplc="5C767344" w:tentative="1">
      <w:start w:val="1"/>
      <w:numFmt w:val="bullet"/>
      <w:lvlText w:val=""/>
      <w:lvlJc w:val="left"/>
      <w:pPr>
        <w:tabs>
          <w:tab w:val="num" w:pos="5760"/>
        </w:tabs>
        <w:ind w:left="5760" w:hanging="360"/>
      </w:pPr>
      <w:rPr>
        <w:rFonts w:ascii="Wingdings" w:hAnsi="Wingdings" w:hint="default"/>
      </w:rPr>
    </w:lvl>
    <w:lvl w:ilvl="8" w:tplc="91BC522C" w:tentative="1">
      <w:start w:val="1"/>
      <w:numFmt w:val="bullet"/>
      <w:lvlText w:val=""/>
      <w:lvlJc w:val="left"/>
      <w:pPr>
        <w:tabs>
          <w:tab w:val="num" w:pos="6480"/>
        </w:tabs>
        <w:ind w:left="6480" w:hanging="360"/>
      </w:pPr>
      <w:rPr>
        <w:rFonts w:ascii="Wingdings" w:hAnsi="Wingdings" w:hint="default"/>
      </w:rPr>
    </w:lvl>
  </w:abstractNum>
  <w:abstractNum w:abstractNumId="24">
    <w:nsid w:val="3B555609"/>
    <w:multiLevelType w:val="singleLevel"/>
    <w:tmpl w:val="3B555609"/>
    <w:lvl w:ilvl="0">
      <w:start w:val="1"/>
      <w:numFmt w:val="decimal"/>
      <w:lvlText w:val="%1."/>
      <w:lvlJc w:val="left"/>
      <w:pPr>
        <w:tabs>
          <w:tab w:val="num" w:pos="312"/>
        </w:tabs>
      </w:pPr>
    </w:lvl>
  </w:abstractNum>
  <w:abstractNum w:abstractNumId="25">
    <w:nsid w:val="3C7F069D"/>
    <w:multiLevelType w:val="multilevel"/>
    <w:tmpl w:val="3C7F069D"/>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6">
    <w:nsid w:val="4A80529C"/>
    <w:multiLevelType w:val="hybridMultilevel"/>
    <w:tmpl w:val="05D4E976"/>
    <w:lvl w:ilvl="0" w:tplc="0590C150">
      <w:start w:val="1"/>
      <w:numFmt w:val="bullet"/>
      <w:lvlText w:val=""/>
      <w:lvlJc w:val="left"/>
      <w:pPr>
        <w:tabs>
          <w:tab w:val="num" w:pos="720"/>
        </w:tabs>
        <w:ind w:left="720" w:hanging="360"/>
      </w:pPr>
      <w:rPr>
        <w:rFonts w:ascii="Wingdings" w:hAnsi="Wingdings" w:hint="default"/>
      </w:rPr>
    </w:lvl>
    <w:lvl w:ilvl="1" w:tplc="D4D6C4AA" w:tentative="1">
      <w:start w:val="1"/>
      <w:numFmt w:val="bullet"/>
      <w:lvlText w:val=""/>
      <w:lvlJc w:val="left"/>
      <w:pPr>
        <w:tabs>
          <w:tab w:val="num" w:pos="1440"/>
        </w:tabs>
        <w:ind w:left="1440" w:hanging="360"/>
      </w:pPr>
      <w:rPr>
        <w:rFonts w:ascii="Wingdings" w:hAnsi="Wingdings" w:hint="default"/>
      </w:rPr>
    </w:lvl>
    <w:lvl w:ilvl="2" w:tplc="577EE25C" w:tentative="1">
      <w:start w:val="1"/>
      <w:numFmt w:val="bullet"/>
      <w:lvlText w:val=""/>
      <w:lvlJc w:val="left"/>
      <w:pPr>
        <w:tabs>
          <w:tab w:val="num" w:pos="2160"/>
        </w:tabs>
        <w:ind w:left="2160" w:hanging="360"/>
      </w:pPr>
      <w:rPr>
        <w:rFonts w:ascii="Wingdings" w:hAnsi="Wingdings" w:hint="default"/>
      </w:rPr>
    </w:lvl>
    <w:lvl w:ilvl="3" w:tplc="802A2DCE" w:tentative="1">
      <w:start w:val="1"/>
      <w:numFmt w:val="bullet"/>
      <w:lvlText w:val=""/>
      <w:lvlJc w:val="left"/>
      <w:pPr>
        <w:tabs>
          <w:tab w:val="num" w:pos="2880"/>
        </w:tabs>
        <w:ind w:left="2880" w:hanging="360"/>
      </w:pPr>
      <w:rPr>
        <w:rFonts w:ascii="Wingdings" w:hAnsi="Wingdings" w:hint="default"/>
      </w:rPr>
    </w:lvl>
    <w:lvl w:ilvl="4" w:tplc="9348BA84" w:tentative="1">
      <w:start w:val="1"/>
      <w:numFmt w:val="bullet"/>
      <w:lvlText w:val=""/>
      <w:lvlJc w:val="left"/>
      <w:pPr>
        <w:tabs>
          <w:tab w:val="num" w:pos="3600"/>
        </w:tabs>
        <w:ind w:left="3600" w:hanging="360"/>
      </w:pPr>
      <w:rPr>
        <w:rFonts w:ascii="Wingdings" w:hAnsi="Wingdings" w:hint="default"/>
      </w:rPr>
    </w:lvl>
    <w:lvl w:ilvl="5" w:tplc="0B5C0A90" w:tentative="1">
      <w:start w:val="1"/>
      <w:numFmt w:val="bullet"/>
      <w:lvlText w:val=""/>
      <w:lvlJc w:val="left"/>
      <w:pPr>
        <w:tabs>
          <w:tab w:val="num" w:pos="4320"/>
        </w:tabs>
        <w:ind w:left="4320" w:hanging="360"/>
      </w:pPr>
      <w:rPr>
        <w:rFonts w:ascii="Wingdings" w:hAnsi="Wingdings" w:hint="default"/>
      </w:rPr>
    </w:lvl>
    <w:lvl w:ilvl="6" w:tplc="AC4ECF1E" w:tentative="1">
      <w:start w:val="1"/>
      <w:numFmt w:val="bullet"/>
      <w:lvlText w:val=""/>
      <w:lvlJc w:val="left"/>
      <w:pPr>
        <w:tabs>
          <w:tab w:val="num" w:pos="5040"/>
        </w:tabs>
        <w:ind w:left="5040" w:hanging="360"/>
      </w:pPr>
      <w:rPr>
        <w:rFonts w:ascii="Wingdings" w:hAnsi="Wingdings" w:hint="default"/>
      </w:rPr>
    </w:lvl>
    <w:lvl w:ilvl="7" w:tplc="62FE4234" w:tentative="1">
      <w:start w:val="1"/>
      <w:numFmt w:val="bullet"/>
      <w:lvlText w:val=""/>
      <w:lvlJc w:val="left"/>
      <w:pPr>
        <w:tabs>
          <w:tab w:val="num" w:pos="5760"/>
        </w:tabs>
        <w:ind w:left="5760" w:hanging="360"/>
      </w:pPr>
      <w:rPr>
        <w:rFonts w:ascii="Wingdings" w:hAnsi="Wingdings" w:hint="default"/>
      </w:rPr>
    </w:lvl>
    <w:lvl w:ilvl="8" w:tplc="1CF8AD92" w:tentative="1">
      <w:start w:val="1"/>
      <w:numFmt w:val="bullet"/>
      <w:lvlText w:val=""/>
      <w:lvlJc w:val="left"/>
      <w:pPr>
        <w:tabs>
          <w:tab w:val="num" w:pos="6480"/>
        </w:tabs>
        <w:ind w:left="6480" w:hanging="360"/>
      </w:pPr>
      <w:rPr>
        <w:rFonts w:ascii="Wingdings" w:hAnsi="Wingdings" w:hint="default"/>
      </w:rPr>
    </w:lvl>
  </w:abstractNum>
  <w:abstractNum w:abstractNumId="27">
    <w:nsid w:val="4DAE4EA9"/>
    <w:multiLevelType w:val="hybridMultilevel"/>
    <w:tmpl w:val="BEDC8180"/>
    <w:lvl w:ilvl="0" w:tplc="A6CECD9E">
      <w:start w:val="1"/>
      <w:numFmt w:val="bullet"/>
      <w:lvlText w:val=""/>
      <w:lvlJc w:val="left"/>
      <w:pPr>
        <w:tabs>
          <w:tab w:val="num" w:pos="720"/>
        </w:tabs>
        <w:ind w:left="720" w:hanging="360"/>
      </w:pPr>
      <w:rPr>
        <w:rFonts w:ascii="Wingdings" w:hAnsi="Wingdings" w:hint="default"/>
      </w:rPr>
    </w:lvl>
    <w:lvl w:ilvl="1" w:tplc="ACA4866C" w:tentative="1">
      <w:start w:val="1"/>
      <w:numFmt w:val="bullet"/>
      <w:lvlText w:val=""/>
      <w:lvlJc w:val="left"/>
      <w:pPr>
        <w:tabs>
          <w:tab w:val="num" w:pos="1440"/>
        </w:tabs>
        <w:ind w:left="1440" w:hanging="360"/>
      </w:pPr>
      <w:rPr>
        <w:rFonts w:ascii="Wingdings" w:hAnsi="Wingdings" w:hint="default"/>
      </w:rPr>
    </w:lvl>
    <w:lvl w:ilvl="2" w:tplc="61B25B5E" w:tentative="1">
      <w:start w:val="1"/>
      <w:numFmt w:val="bullet"/>
      <w:lvlText w:val=""/>
      <w:lvlJc w:val="left"/>
      <w:pPr>
        <w:tabs>
          <w:tab w:val="num" w:pos="2160"/>
        </w:tabs>
        <w:ind w:left="2160" w:hanging="360"/>
      </w:pPr>
      <w:rPr>
        <w:rFonts w:ascii="Wingdings" w:hAnsi="Wingdings" w:hint="default"/>
      </w:rPr>
    </w:lvl>
    <w:lvl w:ilvl="3" w:tplc="7B029408" w:tentative="1">
      <w:start w:val="1"/>
      <w:numFmt w:val="bullet"/>
      <w:lvlText w:val=""/>
      <w:lvlJc w:val="left"/>
      <w:pPr>
        <w:tabs>
          <w:tab w:val="num" w:pos="2880"/>
        </w:tabs>
        <w:ind w:left="2880" w:hanging="360"/>
      </w:pPr>
      <w:rPr>
        <w:rFonts w:ascii="Wingdings" w:hAnsi="Wingdings" w:hint="default"/>
      </w:rPr>
    </w:lvl>
    <w:lvl w:ilvl="4" w:tplc="6ECE60FA" w:tentative="1">
      <w:start w:val="1"/>
      <w:numFmt w:val="bullet"/>
      <w:lvlText w:val=""/>
      <w:lvlJc w:val="left"/>
      <w:pPr>
        <w:tabs>
          <w:tab w:val="num" w:pos="3600"/>
        </w:tabs>
        <w:ind w:left="3600" w:hanging="360"/>
      </w:pPr>
      <w:rPr>
        <w:rFonts w:ascii="Wingdings" w:hAnsi="Wingdings" w:hint="default"/>
      </w:rPr>
    </w:lvl>
    <w:lvl w:ilvl="5" w:tplc="C422F452" w:tentative="1">
      <w:start w:val="1"/>
      <w:numFmt w:val="bullet"/>
      <w:lvlText w:val=""/>
      <w:lvlJc w:val="left"/>
      <w:pPr>
        <w:tabs>
          <w:tab w:val="num" w:pos="4320"/>
        </w:tabs>
        <w:ind w:left="4320" w:hanging="360"/>
      </w:pPr>
      <w:rPr>
        <w:rFonts w:ascii="Wingdings" w:hAnsi="Wingdings" w:hint="default"/>
      </w:rPr>
    </w:lvl>
    <w:lvl w:ilvl="6" w:tplc="9C223600" w:tentative="1">
      <w:start w:val="1"/>
      <w:numFmt w:val="bullet"/>
      <w:lvlText w:val=""/>
      <w:lvlJc w:val="left"/>
      <w:pPr>
        <w:tabs>
          <w:tab w:val="num" w:pos="5040"/>
        </w:tabs>
        <w:ind w:left="5040" w:hanging="360"/>
      </w:pPr>
      <w:rPr>
        <w:rFonts w:ascii="Wingdings" w:hAnsi="Wingdings" w:hint="default"/>
      </w:rPr>
    </w:lvl>
    <w:lvl w:ilvl="7" w:tplc="EF4843A6" w:tentative="1">
      <w:start w:val="1"/>
      <w:numFmt w:val="bullet"/>
      <w:lvlText w:val=""/>
      <w:lvlJc w:val="left"/>
      <w:pPr>
        <w:tabs>
          <w:tab w:val="num" w:pos="5760"/>
        </w:tabs>
        <w:ind w:left="5760" w:hanging="360"/>
      </w:pPr>
      <w:rPr>
        <w:rFonts w:ascii="Wingdings" w:hAnsi="Wingdings" w:hint="default"/>
      </w:rPr>
    </w:lvl>
    <w:lvl w:ilvl="8" w:tplc="B7F4B628" w:tentative="1">
      <w:start w:val="1"/>
      <w:numFmt w:val="bullet"/>
      <w:lvlText w:val=""/>
      <w:lvlJc w:val="left"/>
      <w:pPr>
        <w:tabs>
          <w:tab w:val="num" w:pos="6480"/>
        </w:tabs>
        <w:ind w:left="6480" w:hanging="360"/>
      </w:pPr>
      <w:rPr>
        <w:rFonts w:ascii="Wingdings" w:hAnsi="Wingdings" w:hint="default"/>
      </w:rPr>
    </w:lvl>
  </w:abstractNum>
  <w:abstractNum w:abstractNumId="28">
    <w:nsid w:val="51D80082"/>
    <w:multiLevelType w:val="multilevel"/>
    <w:tmpl w:val="51D80082"/>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6902188"/>
    <w:multiLevelType w:val="multilevel"/>
    <w:tmpl w:val="5690218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0">
    <w:nsid w:val="59FE33DF"/>
    <w:multiLevelType w:val="hybridMultilevel"/>
    <w:tmpl w:val="5992AB88"/>
    <w:lvl w:ilvl="0" w:tplc="23FE240C">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03590E"/>
    <w:multiLevelType w:val="hybridMultilevel"/>
    <w:tmpl w:val="6DDADBDE"/>
    <w:lvl w:ilvl="0" w:tplc="93E64868">
      <w:start w:val="1"/>
      <w:numFmt w:val="bullet"/>
      <w:lvlText w:val=""/>
      <w:lvlJc w:val="left"/>
      <w:pPr>
        <w:tabs>
          <w:tab w:val="num" w:pos="720"/>
        </w:tabs>
        <w:ind w:left="720" w:hanging="360"/>
      </w:pPr>
      <w:rPr>
        <w:rFonts w:ascii="Wingdings" w:hAnsi="Wingdings" w:hint="default"/>
      </w:rPr>
    </w:lvl>
    <w:lvl w:ilvl="1" w:tplc="3AC0495A" w:tentative="1">
      <w:start w:val="1"/>
      <w:numFmt w:val="bullet"/>
      <w:lvlText w:val=""/>
      <w:lvlJc w:val="left"/>
      <w:pPr>
        <w:tabs>
          <w:tab w:val="num" w:pos="1440"/>
        </w:tabs>
        <w:ind w:left="1440" w:hanging="360"/>
      </w:pPr>
      <w:rPr>
        <w:rFonts w:ascii="Wingdings" w:hAnsi="Wingdings" w:hint="default"/>
      </w:rPr>
    </w:lvl>
    <w:lvl w:ilvl="2" w:tplc="8FB21F0A" w:tentative="1">
      <w:start w:val="1"/>
      <w:numFmt w:val="bullet"/>
      <w:lvlText w:val=""/>
      <w:lvlJc w:val="left"/>
      <w:pPr>
        <w:tabs>
          <w:tab w:val="num" w:pos="2160"/>
        </w:tabs>
        <w:ind w:left="2160" w:hanging="360"/>
      </w:pPr>
      <w:rPr>
        <w:rFonts w:ascii="Wingdings" w:hAnsi="Wingdings" w:hint="default"/>
      </w:rPr>
    </w:lvl>
    <w:lvl w:ilvl="3" w:tplc="3F040C72" w:tentative="1">
      <w:start w:val="1"/>
      <w:numFmt w:val="bullet"/>
      <w:lvlText w:val=""/>
      <w:lvlJc w:val="left"/>
      <w:pPr>
        <w:tabs>
          <w:tab w:val="num" w:pos="2880"/>
        </w:tabs>
        <w:ind w:left="2880" w:hanging="360"/>
      </w:pPr>
      <w:rPr>
        <w:rFonts w:ascii="Wingdings" w:hAnsi="Wingdings" w:hint="default"/>
      </w:rPr>
    </w:lvl>
    <w:lvl w:ilvl="4" w:tplc="C71AE14C" w:tentative="1">
      <w:start w:val="1"/>
      <w:numFmt w:val="bullet"/>
      <w:lvlText w:val=""/>
      <w:lvlJc w:val="left"/>
      <w:pPr>
        <w:tabs>
          <w:tab w:val="num" w:pos="3600"/>
        </w:tabs>
        <w:ind w:left="3600" w:hanging="360"/>
      </w:pPr>
      <w:rPr>
        <w:rFonts w:ascii="Wingdings" w:hAnsi="Wingdings" w:hint="default"/>
      </w:rPr>
    </w:lvl>
    <w:lvl w:ilvl="5" w:tplc="B8B46CC2" w:tentative="1">
      <w:start w:val="1"/>
      <w:numFmt w:val="bullet"/>
      <w:lvlText w:val=""/>
      <w:lvlJc w:val="left"/>
      <w:pPr>
        <w:tabs>
          <w:tab w:val="num" w:pos="4320"/>
        </w:tabs>
        <w:ind w:left="4320" w:hanging="360"/>
      </w:pPr>
      <w:rPr>
        <w:rFonts w:ascii="Wingdings" w:hAnsi="Wingdings" w:hint="default"/>
      </w:rPr>
    </w:lvl>
    <w:lvl w:ilvl="6" w:tplc="AED0D5E8" w:tentative="1">
      <w:start w:val="1"/>
      <w:numFmt w:val="bullet"/>
      <w:lvlText w:val=""/>
      <w:lvlJc w:val="left"/>
      <w:pPr>
        <w:tabs>
          <w:tab w:val="num" w:pos="5040"/>
        </w:tabs>
        <w:ind w:left="5040" w:hanging="360"/>
      </w:pPr>
      <w:rPr>
        <w:rFonts w:ascii="Wingdings" w:hAnsi="Wingdings" w:hint="default"/>
      </w:rPr>
    </w:lvl>
    <w:lvl w:ilvl="7" w:tplc="D6A8745E" w:tentative="1">
      <w:start w:val="1"/>
      <w:numFmt w:val="bullet"/>
      <w:lvlText w:val=""/>
      <w:lvlJc w:val="left"/>
      <w:pPr>
        <w:tabs>
          <w:tab w:val="num" w:pos="5760"/>
        </w:tabs>
        <w:ind w:left="5760" w:hanging="360"/>
      </w:pPr>
      <w:rPr>
        <w:rFonts w:ascii="Wingdings" w:hAnsi="Wingdings" w:hint="default"/>
      </w:rPr>
    </w:lvl>
    <w:lvl w:ilvl="8" w:tplc="C758F618" w:tentative="1">
      <w:start w:val="1"/>
      <w:numFmt w:val="bullet"/>
      <w:lvlText w:val=""/>
      <w:lvlJc w:val="left"/>
      <w:pPr>
        <w:tabs>
          <w:tab w:val="num" w:pos="6480"/>
        </w:tabs>
        <w:ind w:left="6480" w:hanging="360"/>
      </w:pPr>
      <w:rPr>
        <w:rFonts w:ascii="Wingdings" w:hAnsi="Wingdings" w:hint="default"/>
      </w:rPr>
    </w:lvl>
  </w:abstractNum>
  <w:abstractNum w:abstractNumId="32">
    <w:nsid w:val="5E0A6361"/>
    <w:multiLevelType w:val="hybridMultilevel"/>
    <w:tmpl w:val="A40288CE"/>
    <w:lvl w:ilvl="0" w:tplc="B8F63F3C">
      <w:start w:val="1"/>
      <w:numFmt w:val="bullet"/>
      <w:lvlText w:val=""/>
      <w:lvlJc w:val="left"/>
      <w:pPr>
        <w:tabs>
          <w:tab w:val="num" w:pos="720"/>
        </w:tabs>
        <w:ind w:left="720" w:hanging="360"/>
      </w:pPr>
      <w:rPr>
        <w:rFonts w:ascii="Wingdings" w:hAnsi="Wingdings" w:hint="default"/>
      </w:rPr>
    </w:lvl>
    <w:lvl w:ilvl="1" w:tplc="36141988" w:tentative="1">
      <w:start w:val="1"/>
      <w:numFmt w:val="bullet"/>
      <w:lvlText w:val=""/>
      <w:lvlJc w:val="left"/>
      <w:pPr>
        <w:tabs>
          <w:tab w:val="num" w:pos="1440"/>
        </w:tabs>
        <w:ind w:left="1440" w:hanging="360"/>
      </w:pPr>
      <w:rPr>
        <w:rFonts w:ascii="Wingdings" w:hAnsi="Wingdings" w:hint="default"/>
      </w:rPr>
    </w:lvl>
    <w:lvl w:ilvl="2" w:tplc="ECB81520" w:tentative="1">
      <w:start w:val="1"/>
      <w:numFmt w:val="bullet"/>
      <w:lvlText w:val=""/>
      <w:lvlJc w:val="left"/>
      <w:pPr>
        <w:tabs>
          <w:tab w:val="num" w:pos="2160"/>
        </w:tabs>
        <w:ind w:left="2160" w:hanging="360"/>
      </w:pPr>
      <w:rPr>
        <w:rFonts w:ascii="Wingdings" w:hAnsi="Wingdings" w:hint="default"/>
      </w:rPr>
    </w:lvl>
    <w:lvl w:ilvl="3" w:tplc="C27A5AAA" w:tentative="1">
      <w:start w:val="1"/>
      <w:numFmt w:val="bullet"/>
      <w:lvlText w:val=""/>
      <w:lvlJc w:val="left"/>
      <w:pPr>
        <w:tabs>
          <w:tab w:val="num" w:pos="2880"/>
        </w:tabs>
        <w:ind w:left="2880" w:hanging="360"/>
      </w:pPr>
      <w:rPr>
        <w:rFonts w:ascii="Wingdings" w:hAnsi="Wingdings" w:hint="default"/>
      </w:rPr>
    </w:lvl>
    <w:lvl w:ilvl="4" w:tplc="84FC1858" w:tentative="1">
      <w:start w:val="1"/>
      <w:numFmt w:val="bullet"/>
      <w:lvlText w:val=""/>
      <w:lvlJc w:val="left"/>
      <w:pPr>
        <w:tabs>
          <w:tab w:val="num" w:pos="3600"/>
        </w:tabs>
        <w:ind w:left="3600" w:hanging="360"/>
      </w:pPr>
      <w:rPr>
        <w:rFonts w:ascii="Wingdings" w:hAnsi="Wingdings" w:hint="default"/>
      </w:rPr>
    </w:lvl>
    <w:lvl w:ilvl="5" w:tplc="5D8C1FF8" w:tentative="1">
      <w:start w:val="1"/>
      <w:numFmt w:val="bullet"/>
      <w:lvlText w:val=""/>
      <w:lvlJc w:val="left"/>
      <w:pPr>
        <w:tabs>
          <w:tab w:val="num" w:pos="4320"/>
        </w:tabs>
        <w:ind w:left="4320" w:hanging="360"/>
      </w:pPr>
      <w:rPr>
        <w:rFonts w:ascii="Wingdings" w:hAnsi="Wingdings" w:hint="default"/>
      </w:rPr>
    </w:lvl>
    <w:lvl w:ilvl="6" w:tplc="F36C1CCA" w:tentative="1">
      <w:start w:val="1"/>
      <w:numFmt w:val="bullet"/>
      <w:lvlText w:val=""/>
      <w:lvlJc w:val="left"/>
      <w:pPr>
        <w:tabs>
          <w:tab w:val="num" w:pos="5040"/>
        </w:tabs>
        <w:ind w:left="5040" w:hanging="360"/>
      </w:pPr>
      <w:rPr>
        <w:rFonts w:ascii="Wingdings" w:hAnsi="Wingdings" w:hint="default"/>
      </w:rPr>
    </w:lvl>
    <w:lvl w:ilvl="7" w:tplc="D488E80E" w:tentative="1">
      <w:start w:val="1"/>
      <w:numFmt w:val="bullet"/>
      <w:lvlText w:val=""/>
      <w:lvlJc w:val="left"/>
      <w:pPr>
        <w:tabs>
          <w:tab w:val="num" w:pos="5760"/>
        </w:tabs>
        <w:ind w:left="5760" w:hanging="360"/>
      </w:pPr>
      <w:rPr>
        <w:rFonts w:ascii="Wingdings" w:hAnsi="Wingdings" w:hint="default"/>
      </w:rPr>
    </w:lvl>
    <w:lvl w:ilvl="8" w:tplc="FB0ED968" w:tentative="1">
      <w:start w:val="1"/>
      <w:numFmt w:val="bullet"/>
      <w:lvlText w:val=""/>
      <w:lvlJc w:val="left"/>
      <w:pPr>
        <w:tabs>
          <w:tab w:val="num" w:pos="6480"/>
        </w:tabs>
        <w:ind w:left="6480" w:hanging="360"/>
      </w:pPr>
      <w:rPr>
        <w:rFonts w:ascii="Wingdings" w:hAnsi="Wingdings" w:hint="default"/>
      </w:rPr>
    </w:lvl>
  </w:abstractNum>
  <w:abstractNum w:abstractNumId="33">
    <w:nsid w:val="5E4830B3"/>
    <w:multiLevelType w:val="multilevel"/>
    <w:tmpl w:val="5E4830B3"/>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4">
    <w:nsid w:val="5FE11106"/>
    <w:multiLevelType w:val="hybridMultilevel"/>
    <w:tmpl w:val="83028D1A"/>
    <w:lvl w:ilvl="0" w:tplc="BADE464C">
      <w:start w:val="1"/>
      <w:numFmt w:val="bullet"/>
      <w:lvlText w:val=""/>
      <w:lvlJc w:val="left"/>
      <w:pPr>
        <w:tabs>
          <w:tab w:val="num" w:pos="720"/>
        </w:tabs>
        <w:ind w:left="720" w:hanging="360"/>
      </w:pPr>
      <w:rPr>
        <w:rFonts w:ascii="Wingdings" w:hAnsi="Wingdings" w:hint="default"/>
      </w:rPr>
    </w:lvl>
    <w:lvl w:ilvl="1" w:tplc="5AC25F50" w:tentative="1">
      <w:start w:val="1"/>
      <w:numFmt w:val="bullet"/>
      <w:lvlText w:val=""/>
      <w:lvlJc w:val="left"/>
      <w:pPr>
        <w:tabs>
          <w:tab w:val="num" w:pos="1440"/>
        </w:tabs>
        <w:ind w:left="1440" w:hanging="360"/>
      </w:pPr>
      <w:rPr>
        <w:rFonts w:ascii="Wingdings" w:hAnsi="Wingdings" w:hint="default"/>
      </w:rPr>
    </w:lvl>
    <w:lvl w:ilvl="2" w:tplc="FA8EA35C" w:tentative="1">
      <w:start w:val="1"/>
      <w:numFmt w:val="bullet"/>
      <w:lvlText w:val=""/>
      <w:lvlJc w:val="left"/>
      <w:pPr>
        <w:tabs>
          <w:tab w:val="num" w:pos="2160"/>
        </w:tabs>
        <w:ind w:left="2160" w:hanging="360"/>
      </w:pPr>
      <w:rPr>
        <w:rFonts w:ascii="Wingdings" w:hAnsi="Wingdings" w:hint="default"/>
      </w:rPr>
    </w:lvl>
    <w:lvl w:ilvl="3" w:tplc="82AA4904" w:tentative="1">
      <w:start w:val="1"/>
      <w:numFmt w:val="bullet"/>
      <w:lvlText w:val=""/>
      <w:lvlJc w:val="left"/>
      <w:pPr>
        <w:tabs>
          <w:tab w:val="num" w:pos="2880"/>
        </w:tabs>
        <w:ind w:left="2880" w:hanging="360"/>
      </w:pPr>
      <w:rPr>
        <w:rFonts w:ascii="Wingdings" w:hAnsi="Wingdings" w:hint="default"/>
      </w:rPr>
    </w:lvl>
    <w:lvl w:ilvl="4" w:tplc="AE740EE2" w:tentative="1">
      <w:start w:val="1"/>
      <w:numFmt w:val="bullet"/>
      <w:lvlText w:val=""/>
      <w:lvlJc w:val="left"/>
      <w:pPr>
        <w:tabs>
          <w:tab w:val="num" w:pos="3600"/>
        </w:tabs>
        <w:ind w:left="3600" w:hanging="360"/>
      </w:pPr>
      <w:rPr>
        <w:rFonts w:ascii="Wingdings" w:hAnsi="Wingdings" w:hint="default"/>
      </w:rPr>
    </w:lvl>
    <w:lvl w:ilvl="5" w:tplc="3438D4EA" w:tentative="1">
      <w:start w:val="1"/>
      <w:numFmt w:val="bullet"/>
      <w:lvlText w:val=""/>
      <w:lvlJc w:val="left"/>
      <w:pPr>
        <w:tabs>
          <w:tab w:val="num" w:pos="4320"/>
        </w:tabs>
        <w:ind w:left="4320" w:hanging="360"/>
      </w:pPr>
      <w:rPr>
        <w:rFonts w:ascii="Wingdings" w:hAnsi="Wingdings" w:hint="default"/>
      </w:rPr>
    </w:lvl>
    <w:lvl w:ilvl="6" w:tplc="CCE069EA" w:tentative="1">
      <w:start w:val="1"/>
      <w:numFmt w:val="bullet"/>
      <w:lvlText w:val=""/>
      <w:lvlJc w:val="left"/>
      <w:pPr>
        <w:tabs>
          <w:tab w:val="num" w:pos="5040"/>
        </w:tabs>
        <w:ind w:left="5040" w:hanging="360"/>
      </w:pPr>
      <w:rPr>
        <w:rFonts w:ascii="Wingdings" w:hAnsi="Wingdings" w:hint="default"/>
      </w:rPr>
    </w:lvl>
    <w:lvl w:ilvl="7" w:tplc="D0528744" w:tentative="1">
      <w:start w:val="1"/>
      <w:numFmt w:val="bullet"/>
      <w:lvlText w:val=""/>
      <w:lvlJc w:val="left"/>
      <w:pPr>
        <w:tabs>
          <w:tab w:val="num" w:pos="5760"/>
        </w:tabs>
        <w:ind w:left="5760" w:hanging="360"/>
      </w:pPr>
      <w:rPr>
        <w:rFonts w:ascii="Wingdings" w:hAnsi="Wingdings" w:hint="default"/>
      </w:rPr>
    </w:lvl>
    <w:lvl w:ilvl="8" w:tplc="B1E63AE8" w:tentative="1">
      <w:start w:val="1"/>
      <w:numFmt w:val="bullet"/>
      <w:lvlText w:val=""/>
      <w:lvlJc w:val="left"/>
      <w:pPr>
        <w:tabs>
          <w:tab w:val="num" w:pos="6480"/>
        </w:tabs>
        <w:ind w:left="6480" w:hanging="360"/>
      </w:pPr>
      <w:rPr>
        <w:rFonts w:ascii="Wingdings" w:hAnsi="Wingdings" w:hint="default"/>
      </w:rPr>
    </w:lvl>
  </w:abstractNum>
  <w:abstractNum w:abstractNumId="35">
    <w:nsid w:val="62FB0092"/>
    <w:multiLevelType w:val="multilevel"/>
    <w:tmpl w:val="62FB0092"/>
    <w:lvl w:ilvl="0">
      <w:start w:val="1"/>
      <w:numFmt w:val="japaneseCounting"/>
      <w:lvlText w:val="第%1条"/>
      <w:lvlJc w:val="left"/>
      <w:pPr>
        <w:tabs>
          <w:tab w:val="num" w:pos="1080"/>
        </w:tabs>
        <w:ind w:left="1080" w:hanging="1080"/>
      </w:pPr>
      <w:rPr>
        <w:rFonts w:hint="default"/>
        <w:lang w:val="en-US"/>
      </w:rPr>
    </w:lvl>
    <w:lvl w:ilvl="1">
      <w:start w:val="1"/>
      <w:numFmt w:val="lowerLetter"/>
      <w:lvlText w:val="%2)"/>
      <w:lvlJc w:val="left"/>
      <w:pPr>
        <w:tabs>
          <w:tab w:val="num" w:pos="415"/>
        </w:tabs>
        <w:ind w:left="415" w:hanging="420"/>
      </w:pPr>
    </w:lvl>
    <w:lvl w:ilvl="2">
      <w:start w:val="1"/>
      <w:numFmt w:val="lowerRoman"/>
      <w:lvlText w:val="%3."/>
      <w:lvlJc w:val="right"/>
      <w:pPr>
        <w:tabs>
          <w:tab w:val="num" w:pos="835"/>
        </w:tabs>
        <w:ind w:left="835" w:hanging="420"/>
      </w:pPr>
    </w:lvl>
    <w:lvl w:ilvl="3">
      <w:start w:val="1"/>
      <w:numFmt w:val="decimal"/>
      <w:lvlText w:val="%4."/>
      <w:lvlJc w:val="left"/>
      <w:pPr>
        <w:tabs>
          <w:tab w:val="num" w:pos="1255"/>
        </w:tabs>
        <w:ind w:left="1255" w:hanging="420"/>
      </w:pPr>
    </w:lvl>
    <w:lvl w:ilvl="4">
      <w:start w:val="1"/>
      <w:numFmt w:val="lowerLetter"/>
      <w:lvlText w:val="%5)"/>
      <w:lvlJc w:val="left"/>
      <w:pPr>
        <w:tabs>
          <w:tab w:val="num" w:pos="1675"/>
        </w:tabs>
        <w:ind w:left="1675" w:hanging="420"/>
      </w:pPr>
    </w:lvl>
    <w:lvl w:ilvl="5">
      <w:start w:val="1"/>
      <w:numFmt w:val="lowerRoman"/>
      <w:lvlText w:val="%6."/>
      <w:lvlJc w:val="right"/>
      <w:pPr>
        <w:tabs>
          <w:tab w:val="num" w:pos="2095"/>
        </w:tabs>
        <w:ind w:left="2095" w:hanging="420"/>
      </w:pPr>
    </w:lvl>
    <w:lvl w:ilvl="6">
      <w:start w:val="1"/>
      <w:numFmt w:val="decimal"/>
      <w:lvlText w:val="%7."/>
      <w:lvlJc w:val="left"/>
      <w:pPr>
        <w:tabs>
          <w:tab w:val="num" w:pos="2515"/>
        </w:tabs>
        <w:ind w:left="2515" w:hanging="420"/>
      </w:pPr>
    </w:lvl>
    <w:lvl w:ilvl="7">
      <w:start w:val="1"/>
      <w:numFmt w:val="lowerLetter"/>
      <w:lvlText w:val="%8)"/>
      <w:lvlJc w:val="left"/>
      <w:pPr>
        <w:tabs>
          <w:tab w:val="num" w:pos="2935"/>
        </w:tabs>
        <w:ind w:left="2935" w:hanging="420"/>
      </w:pPr>
    </w:lvl>
    <w:lvl w:ilvl="8">
      <w:start w:val="1"/>
      <w:numFmt w:val="lowerRoman"/>
      <w:lvlText w:val="%9."/>
      <w:lvlJc w:val="right"/>
      <w:pPr>
        <w:tabs>
          <w:tab w:val="num" w:pos="3355"/>
        </w:tabs>
        <w:ind w:left="3355" w:hanging="420"/>
      </w:pPr>
    </w:lvl>
  </w:abstractNum>
  <w:abstractNum w:abstractNumId="36">
    <w:nsid w:val="64CB79C7"/>
    <w:multiLevelType w:val="singleLevel"/>
    <w:tmpl w:val="64CB79C7"/>
    <w:lvl w:ilvl="0">
      <w:start w:val="1"/>
      <w:numFmt w:val="upperLetter"/>
      <w:pStyle w:val="5"/>
      <w:lvlText w:val="%1、"/>
      <w:lvlJc w:val="left"/>
      <w:pPr>
        <w:tabs>
          <w:tab w:val="num" w:pos="435"/>
        </w:tabs>
        <w:ind w:left="435" w:hanging="435"/>
      </w:pPr>
      <w:rPr>
        <w:rFonts w:hint="eastAsia"/>
      </w:rPr>
    </w:lvl>
  </w:abstractNum>
  <w:abstractNum w:abstractNumId="37">
    <w:nsid w:val="66EE7F36"/>
    <w:multiLevelType w:val="hybridMultilevel"/>
    <w:tmpl w:val="04E878FE"/>
    <w:lvl w:ilvl="0" w:tplc="151061D0">
      <w:start w:val="1"/>
      <w:numFmt w:val="bullet"/>
      <w:lvlText w:val=""/>
      <w:lvlJc w:val="left"/>
      <w:pPr>
        <w:tabs>
          <w:tab w:val="num" w:pos="720"/>
        </w:tabs>
        <w:ind w:left="720" w:hanging="360"/>
      </w:pPr>
      <w:rPr>
        <w:rFonts w:ascii="Wingdings" w:hAnsi="Wingdings" w:hint="default"/>
      </w:rPr>
    </w:lvl>
    <w:lvl w:ilvl="1" w:tplc="C75A5998" w:tentative="1">
      <w:start w:val="1"/>
      <w:numFmt w:val="bullet"/>
      <w:lvlText w:val=""/>
      <w:lvlJc w:val="left"/>
      <w:pPr>
        <w:tabs>
          <w:tab w:val="num" w:pos="1440"/>
        </w:tabs>
        <w:ind w:left="1440" w:hanging="360"/>
      </w:pPr>
      <w:rPr>
        <w:rFonts w:ascii="Wingdings" w:hAnsi="Wingdings" w:hint="default"/>
      </w:rPr>
    </w:lvl>
    <w:lvl w:ilvl="2" w:tplc="A3F46D78" w:tentative="1">
      <w:start w:val="1"/>
      <w:numFmt w:val="bullet"/>
      <w:lvlText w:val=""/>
      <w:lvlJc w:val="left"/>
      <w:pPr>
        <w:tabs>
          <w:tab w:val="num" w:pos="2160"/>
        </w:tabs>
        <w:ind w:left="2160" w:hanging="360"/>
      </w:pPr>
      <w:rPr>
        <w:rFonts w:ascii="Wingdings" w:hAnsi="Wingdings" w:hint="default"/>
      </w:rPr>
    </w:lvl>
    <w:lvl w:ilvl="3" w:tplc="37F886F8" w:tentative="1">
      <w:start w:val="1"/>
      <w:numFmt w:val="bullet"/>
      <w:lvlText w:val=""/>
      <w:lvlJc w:val="left"/>
      <w:pPr>
        <w:tabs>
          <w:tab w:val="num" w:pos="2880"/>
        </w:tabs>
        <w:ind w:left="2880" w:hanging="360"/>
      </w:pPr>
      <w:rPr>
        <w:rFonts w:ascii="Wingdings" w:hAnsi="Wingdings" w:hint="default"/>
      </w:rPr>
    </w:lvl>
    <w:lvl w:ilvl="4" w:tplc="65025CBA" w:tentative="1">
      <w:start w:val="1"/>
      <w:numFmt w:val="bullet"/>
      <w:lvlText w:val=""/>
      <w:lvlJc w:val="left"/>
      <w:pPr>
        <w:tabs>
          <w:tab w:val="num" w:pos="3600"/>
        </w:tabs>
        <w:ind w:left="3600" w:hanging="360"/>
      </w:pPr>
      <w:rPr>
        <w:rFonts w:ascii="Wingdings" w:hAnsi="Wingdings" w:hint="default"/>
      </w:rPr>
    </w:lvl>
    <w:lvl w:ilvl="5" w:tplc="DC68204E" w:tentative="1">
      <w:start w:val="1"/>
      <w:numFmt w:val="bullet"/>
      <w:lvlText w:val=""/>
      <w:lvlJc w:val="left"/>
      <w:pPr>
        <w:tabs>
          <w:tab w:val="num" w:pos="4320"/>
        </w:tabs>
        <w:ind w:left="4320" w:hanging="360"/>
      </w:pPr>
      <w:rPr>
        <w:rFonts w:ascii="Wingdings" w:hAnsi="Wingdings" w:hint="default"/>
      </w:rPr>
    </w:lvl>
    <w:lvl w:ilvl="6" w:tplc="D74E628C" w:tentative="1">
      <w:start w:val="1"/>
      <w:numFmt w:val="bullet"/>
      <w:lvlText w:val=""/>
      <w:lvlJc w:val="left"/>
      <w:pPr>
        <w:tabs>
          <w:tab w:val="num" w:pos="5040"/>
        </w:tabs>
        <w:ind w:left="5040" w:hanging="360"/>
      </w:pPr>
      <w:rPr>
        <w:rFonts w:ascii="Wingdings" w:hAnsi="Wingdings" w:hint="default"/>
      </w:rPr>
    </w:lvl>
    <w:lvl w:ilvl="7" w:tplc="FCE2EC6C" w:tentative="1">
      <w:start w:val="1"/>
      <w:numFmt w:val="bullet"/>
      <w:lvlText w:val=""/>
      <w:lvlJc w:val="left"/>
      <w:pPr>
        <w:tabs>
          <w:tab w:val="num" w:pos="5760"/>
        </w:tabs>
        <w:ind w:left="5760" w:hanging="360"/>
      </w:pPr>
      <w:rPr>
        <w:rFonts w:ascii="Wingdings" w:hAnsi="Wingdings" w:hint="default"/>
      </w:rPr>
    </w:lvl>
    <w:lvl w:ilvl="8" w:tplc="84285EB8" w:tentative="1">
      <w:start w:val="1"/>
      <w:numFmt w:val="bullet"/>
      <w:lvlText w:val=""/>
      <w:lvlJc w:val="left"/>
      <w:pPr>
        <w:tabs>
          <w:tab w:val="num" w:pos="6480"/>
        </w:tabs>
        <w:ind w:left="6480" w:hanging="360"/>
      </w:pPr>
      <w:rPr>
        <w:rFonts w:ascii="Wingdings" w:hAnsi="Wingdings" w:hint="default"/>
      </w:rPr>
    </w:lvl>
  </w:abstractNum>
  <w:abstractNum w:abstractNumId="38">
    <w:nsid w:val="67916338"/>
    <w:multiLevelType w:val="hybridMultilevel"/>
    <w:tmpl w:val="B1CA0758"/>
    <w:lvl w:ilvl="0" w:tplc="29ECA5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67F20E3D"/>
    <w:multiLevelType w:val="hybridMultilevel"/>
    <w:tmpl w:val="C37293F4"/>
    <w:lvl w:ilvl="0" w:tplc="89A4EC26">
      <w:start w:val="1"/>
      <w:numFmt w:val="bullet"/>
      <w:lvlText w:val=""/>
      <w:lvlJc w:val="left"/>
      <w:pPr>
        <w:tabs>
          <w:tab w:val="num" w:pos="720"/>
        </w:tabs>
        <w:ind w:left="720" w:hanging="360"/>
      </w:pPr>
      <w:rPr>
        <w:rFonts w:ascii="Wingdings" w:hAnsi="Wingdings" w:hint="default"/>
      </w:rPr>
    </w:lvl>
    <w:lvl w:ilvl="1" w:tplc="33EC3C9A" w:tentative="1">
      <w:start w:val="1"/>
      <w:numFmt w:val="bullet"/>
      <w:lvlText w:val=""/>
      <w:lvlJc w:val="left"/>
      <w:pPr>
        <w:tabs>
          <w:tab w:val="num" w:pos="1440"/>
        </w:tabs>
        <w:ind w:left="1440" w:hanging="360"/>
      </w:pPr>
      <w:rPr>
        <w:rFonts w:ascii="Wingdings" w:hAnsi="Wingdings" w:hint="default"/>
      </w:rPr>
    </w:lvl>
    <w:lvl w:ilvl="2" w:tplc="57B40E50" w:tentative="1">
      <w:start w:val="1"/>
      <w:numFmt w:val="bullet"/>
      <w:lvlText w:val=""/>
      <w:lvlJc w:val="left"/>
      <w:pPr>
        <w:tabs>
          <w:tab w:val="num" w:pos="2160"/>
        </w:tabs>
        <w:ind w:left="2160" w:hanging="360"/>
      </w:pPr>
      <w:rPr>
        <w:rFonts w:ascii="Wingdings" w:hAnsi="Wingdings" w:hint="default"/>
      </w:rPr>
    </w:lvl>
    <w:lvl w:ilvl="3" w:tplc="91DAD072" w:tentative="1">
      <w:start w:val="1"/>
      <w:numFmt w:val="bullet"/>
      <w:lvlText w:val=""/>
      <w:lvlJc w:val="left"/>
      <w:pPr>
        <w:tabs>
          <w:tab w:val="num" w:pos="2880"/>
        </w:tabs>
        <w:ind w:left="2880" w:hanging="360"/>
      </w:pPr>
      <w:rPr>
        <w:rFonts w:ascii="Wingdings" w:hAnsi="Wingdings" w:hint="default"/>
      </w:rPr>
    </w:lvl>
    <w:lvl w:ilvl="4" w:tplc="424477BE" w:tentative="1">
      <w:start w:val="1"/>
      <w:numFmt w:val="bullet"/>
      <w:lvlText w:val=""/>
      <w:lvlJc w:val="left"/>
      <w:pPr>
        <w:tabs>
          <w:tab w:val="num" w:pos="3600"/>
        </w:tabs>
        <w:ind w:left="3600" w:hanging="360"/>
      </w:pPr>
      <w:rPr>
        <w:rFonts w:ascii="Wingdings" w:hAnsi="Wingdings" w:hint="default"/>
      </w:rPr>
    </w:lvl>
    <w:lvl w:ilvl="5" w:tplc="57F0E4B0" w:tentative="1">
      <w:start w:val="1"/>
      <w:numFmt w:val="bullet"/>
      <w:lvlText w:val=""/>
      <w:lvlJc w:val="left"/>
      <w:pPr>
        <w:tabs>
          <w:tab w:val="num" w:pos="4320"/>
        </w:tabs>
        <w:ind w:left="4320" w:hanging="360"/>
      </w:pPr>
      <w:rPr>
        <w:rFonts w:ascii="Wingdings" w:hAnsi="Wingdings" w:hint="default"/>
      </w:rPr>
    </w:lvl>
    <w:lvl w:ilvl="6" w:tplc="F0F696AE" w:tentative="1">
      <w:start w:val="1"/>
      <w:numFmt w:val="bullet"/>
      <w:lvlText w:val=""/>
      <w:lvlJc w:val="left"/>
      <w:pPr>
        <w:tabs>
          <w:tab w:val="num" w:pos="5040"/>
        </w:tabs>
        <w:ind w:left="5040" w:hanging="360"/>
      </w:pPr>
      <w:rPr>
        <w:rFonts w:ascii="Wingdings" w:hAnsi="Wingdings" w:hint="default"/>
      </w:rPr>
    </w:lvl>
    <w:lvl w:ilvl="7" w:tplc="0E761C74" w:tentative="1">
      <w:start w:val="1"/>
      <w:numFmt w:val="bullet"/>
      <w:lvlText w:val=""/>
      <w:lvlJc w:val="left"/>
      <w:pPr>
        <w:tabs>
          <w:tab w:val="num" w:pos="5760"/>
        </w:tabs>
        <w:ind w:left="5760" w:hanging="360"/>
      </w:pPr>
      <w:rPr>
        <w:rFonts w:ascii="Wingdings" w:hAnsi="Wingdings" w:hint="default"/>
      </w:rPr>
    </w:lvl>
    <w:lvl w:ilvl="8" w:tplc="FB7C8A4E" w:tentative="1">
      <w:start w:val="1"/>
      <w:numFmt w:val="bullet"/>
      <w:lvlText w:val=""/>
      <w:lvlJc w:val="left"/>
      <w:pPr>
        <w:tabs>
          <w:tab w:val="num" w:pos="6480"/>
        </w:tabs>
        <w:ind w:left="6480" w:hanging="360"/>
      </w:pPr>
      <w:rPr>
        <w:rFonts w:ascii="Wingdings" w:hAnsi="Wingdings" w:hint="default"/>
      </w:rPr>
    </w:lvl>
  </w:abstractNum>
  <w:abstractNum w:abstractNumId="40">
    <w:nsid w:val="697C0AF9"/>
    <w:multiLevelType w:val="multilevel"/>
    <w:tmpl w:val="62FB0092"/>
    <w:lvl w:ilvl="0">
      <w:start w:val="1"/>
      <w:numFmt w:val="japaneseCounting"/>
      <w:lvlText w:val="第%1条"/>
      <w:lvlJc w:val="left"/>
      <w:pPr>
        <w:tabs>
          <w:tab w:val="num" w:pos="1505"/>
        </w:tabs>
        <w:ind w:left="1505" w:hanging="108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74467B4E"/>
    <w:multiLevelType w:val="hybridMultilevel"/>
    <w:tmpl w:val="5928C6D0"/>
    <w:lvl w:ilvl="0" w:tplc="BCD48B38">
      <w:start w:val="1"/>
      <w:numFmt w:val="bullet"/>
      <w:lvlText w:val=""/>
      <w:lvlJc w:val="left"/>
      <w:pPr>
        <w:tabs>
          <w:tab w:val="num" w:pos="720"/>
        </w:tabs>
        <w:ind w:left="720" w:hanging="360"/>
      </w:pPr>
      <w:rPr>
        <w:rFonts w:ascii="Wingdings" w:hAnsi="Wingdings" w:hint="default"/>
      </w:rPr>
    </w:lvl>
    <w:lvl w:ilvl="1" w:tplc="82CA27EE" w:tentative="1">
      <w:start w:val="1"/>
      <w:numFmt w:val="bullet"/>
      <w:lvlText w:val=""/>
      <w:lvlJc w:val="left"/>
      <w:pPr>
        <w:tabs>
          <w:tab w:val="num" w:pos="1440"/>
        </w:tabs>
        <w:ind w:left="1440" w:hanging="360"/>
      </w:pPr>
      <w:rPr>
        <w:rFonts w:ascii="Wingdings" w:hAnsi="Wingdings" w:hint="default"/>
      </w:rPr>
    </w:lvl>
    <w:lvl w:ilvl="2" w:tplc="5F5E2556" w:tentative="1">
      <w:start w:val="1"/>
      <w:numFmt w:val="bullet"/>
      <w:lvlText w:val=""/>
      <w:lvlJc w:val="left"/>
      <w:pPr>
        <w:tabs>
          <w:tab w:val="num" w:pos="2160"/>
        </w:tabs>
        <w:ind w:left="2160" w:hanging="360"/>
      </w:pPr>
      <w:rPr>
        <w:rFonts w:ascii="Wingdings" w:hAnsi="Wingdings" w:hint="default"/>
      </w:rPr>
    </w:lvl>
    <w:lvl w:ilvl="3" w:tplc="DADA77BE" w:tentative="1">
      <w:start w:val="1"/>
      <w:numFmt w:val="bullet"/>
      <w:lvlText w:val=""/>
      <w:lvlJc w:val="left"/>
      <w:pPr>
        <w:tabs>
          <w:tab w:val="num" w:pos="2880"/>
        </w:tabs>
        <w:ind w:left="2880" w:hanging="360"/>
      </w:pPr>
      <w:rPr>
        <w:rFonts w:ascii="Wingdings" w:hAnsi="Wingdings" w:hint="default"/>
      </w:rPr>
    </w:lvl>
    <w:lvl w:ilvl="4" w:tplc="2B1089F8" w:tentative="1">
      <w:start w:val="1"/>
      <w:numFmt w:val="bullet"/>
      <w:lvlText w:val=""/>
      <w:lvlJc w:val="left"/>
      <w:pPr>
        <w:tabs>
          <w:tab w:val="num" w:pos="3600"/>
        </w:tabs>
        <w:ind w:left="3600" w:hanging="360"/>
      </w:pPr>
      <w:rPr>
        <w:rFonts w:ascii="Wingdings" w:hAnsi="Wingdings" w:hint="default"/>
      </w:rPr>
    </w:lvl>
    <w:lvl w:ilvl="5" w:tplc="674663F0" w:tentative="1">
      <w:start w:val="1"/>
      <w:numFmt w:val="bullet"/>
      <w:lvlText w:val=""/>
      <w:lvlJc w:val="left"/>
      <w:pPr>
        <w:tabs>
          <w:tab w:val="num" w:pos="4320"/>
        </w:tabs>
        <w:ind w:left="4320" w:hanging="360"/>
      </w:pPr>
      <w:rPr>
        <w:rFonts w:ascii="Wingdings" w:hAnsi="Wingdings" w:hint="default"/>
      </w:rPr>
    </w:lvl>
    <w:lvl w:ilvl="6" w:tplc="64326C98" w:tentative="1">
      <w:start w:val="1"/>
      <w:numFmt w:val="bullet"/>
      <w:lvlText w:val=""/>
      <w:lvlJc w:val="left"/>
      <w:pPr>
        <w:tabs>
          <w:tab w:val="num" w:pos="5040"/>
        </w:tabs>
        <w:ind w:left="5040" w:hanging="360"/>
      </w:pPr>
      <w:rPr>
        <w:rFonts w:ascii="Wingdings" w:hAnsi="Wingdings" w:hint="default"/>
      </w:rPr>
    </w:lvl>
    <w:lvl w:ilvl="7" w:tplc="701C539C" w:tentative="1">
      <w:start w:val="1"/>
      <w:numFmt w:val="bullet"/>
      <w:lvlText w:val=""/>
      <w:lvlJc w:val="left"/>
      <w:pPr>
        <w:tabs>
          <w:tab w:val="num" w:pos="5760"/>
        </w:tabs>
        <w:ind w:left="5760" w:hanging="360"/>
      </w:pPr>
      <w:rPr>
        <w:rFonts w:ascii="Wingdings" w:hAnsi="Wingdings" w:hint="default"/>
      </w:rPr>
    </w:lvl>
    <w:lvl w:ilvl="8" w:tplc="ED8EE1C0" w:tentative="1">
      <w:start w:val="1"/>
      <w:numFmt w:val="bullet"/>
      <w:lvlText w:val=""/>
      <w:lvlJc w:val="left"/>
      <w:pPr>
        <w:tabs>
          <w:tab w:val="num" w:pos="6480"/>
        </w:tabs>
        <w:ind w:left="6480" w:hanging="360"/>
      </w:pPr>
      <w:rPr>
        <w:rFonts w:ascii="Wingdings" w:hAnsi="Wingdings" w:hint="default"/>
      </w:rPr>
    </w:lvl>
  </w:abstractNum>
  <w:abstractNum w:abstractNumId="42">
    <w:nsid w:val="793F2749"/>
    <w:multiLevelType w:val="singleLevel"/>
    <w:tmpl w:val="793F2749"/>
    <w:lvl w:ilvl="0">
      <w:start w:val="1"/>
      <w:numFmt w:val="decimal"/>
      <w:lvlText w:val="%1"/>
      <w:lvlJc w:val="center"/>
      <w:pPr>
        <w:ind w:left="420" w:hanging="420"/>
      </w:pPr>
      <w:rPr>
        <w:rFonts w:hint="eastAsia"/>
      </w:rPr>
    </w:lvl>
  </w:abstractNum>
  <w:abstractNum w:abstractNumId="43">
    <w:nsid w:val="7AA267FE"/>
    <w:multiLevelType w:val="multilevel"/>
    <w:tmpl w:val="62FB0092"/>
    <w:lvl w:ilvl="0">
      <w:start w:val="1"/>
      <w:numFmt w:val="japaneseCounting"/>
      <w:lvlText w:val="第%1条"/>
      <w:lvlJc w:val="left"/>
      <w:pPr>
        <w:tabs>
          <w:tab w:val="num" w:pos="1505"/>
        </w:tabs>
        <w:ind w:left="1505" w:hanging="108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6"/>
  </w:num>
  <w:num w:numId="2">
    <w:abstractNumId w:val="35"/>
  </w:num>
  <w:num w:numId="3">
    <w:abstractNumId w:val="6"/>
  </w:num>
  <w:num w:numId="4">
    <w:abstractNumId w:val="24"/>
  </w:num>
  <w:num w:numId="5">
    <w:abstractNumId w:val="42"/>
  </w:num>
  <w:num w:numId="6">
    <w:abstractNumId w:val="17"/>
  </w:num>
  <w:num w:numId="7">
    <w:abstractNumId w:val="29"/>
  </w:num>
  <w:num w:numId="8">
    <w:abstractNumId w:val="2"/>
  </w:num>
  <w:num w:numId="9">
    <w:abstractNumId w:val="28"/>
  </w:num>
  <w:num w:numId="10">
    <w:abstractNumId w:val="25"/>
  </w:num>
  <w:num w:numId="11">
    <w:abstractNumId w:val="0"/>
  </w:num>
  <w:num w:numId="12">
    <w:abstractNumId w:val="15"/>
  </w:num>
  <w:num w:numId="13">
    <w:abstractNumId w:val="22"/>
  </w:num>
  <w:num w:numId="14">
    <w:abstractNumId w:val="26"/>
  </w:num>
  <w:num w:numId="15">
    <w:abstractNumId w:val="39"/>
  </w:num>
  <w:num w:numId="16">
    <w:abstractNumId w:val="43"/>
  </w:num>
  <w:num w:numId="17">
    <w:abstractNumId w:val="40"/>
  </w:num>
  <w:num w:numId="18">
    <w:abstractNumId w:val="13"/>
  </w:num>
  <w:num w:numId="19">
    <w:abstractNumId w:val="20"/>
  </w:num>
  <w:num w:numId="20">
    <w:abstractNumId w:val="30"/>
  </w:num>
  <w:num w:numId="21">
    <w:abstractNumId w:val="11"/>
  </w:num>
  <w:num w:numId="22">
    <w:abstractNumId w:val="21"/>
  </w:num>
  <w:num w:numId="23">
    <w:abstractNumId w:val="9"/>
  </w:num>
  <w:num w:numId="24">
    <w:abstractNumId w:val="8"/>
  </w:num>
  <w:num w:numId="25">
    <w:abstractNumId w:val="18"/>
  </w:num>
  <w:num w:numId="26">
    <w:abstractNumId w:val="38"/>
  </w:num>
  <w:num w:numId="27">
    <w:abstractNumId w:val="41"/>
  </w:num>
  <w:num w:numId="28">
    <w:abstractNumId w:val="23"/>
  </w:num>
  <w:num w:numId="29">
    <w:abstractNumId w:val="7"/>
  </w:num>
  <w:num w:numId="30">
    <w:abstractNumId w:val="14"/>
  </w:num>
  <w:num w:numId="31">
    <w:abstractNumId w:val="31"/>
  </w:num>
  <w:num w:numId="32">
    <w:abstractNumId w:val="10"/>
  </w:num>
  <w:num w:numId="33">
    <w:abstractNumId w:val="34"/>
  </w:num>
  <w:num w:numId="34">
    <w:abstractNumId w:val="12"/>
  </w:num>
  <w:num w:numId="35">
    <w:abstractNumId w:val="27"/>
  </w:num>
  <w:num w:numId="36">
    <w:abstractNumId w:val="5"/>
    <w:lvlOverride w:ilvl="0">
      <w:startOverride w:val="1"/>
    </w:lvlOverride>
  </w:num>
  <w:num w:numId="37">
    <w:abstractNumId w:val="3"/>
    <w:lvlOverride w:ilvl="0">
      <w:startOverride w:val="1"/>
    </w:lvlOverride>
  </w:num>
  <w:num w:numId="38">
    <w:abstractNumId w:val="4"/>
    <w:lvlOverride w:ilvl="0">
      <w:startOverride w:val="7"/>
    </w:lvlOverride>
  </w:num>
  <w:num w:numId="39">
    <w:abstractNumId w:val="1"/>
  </w:num>
  <w:num w:numId="40">
    <w:abstractNumId w:val="19"/>
  </w:num>
  <w:num w:numId="41">
    <w:abstractNumId w:val="37"/>
  </w:num>
  <w:num w:numId="42">
    <w:abstractNumId w:val="33"/>
  </w:num>
  <w:num w:numId="43">
    <w:abstractNumId w:val="16"/>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spelling="clean"/>
  <w:stylePaneFormatFilter w:val="3F01"/>
  <w:defaultTabStop w:val="420"/>
  <w:bookFoldPrintingSheets w:val="4"/>
  <w:drawingGridHorizontalSpacing w:val="287"/>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228"/>
    <w:rsid w:val="0000098A"/>
    <w:rsid w:val="00001890"/>
    <w:rsid w:val="00001E46"/>
    <w:rsid w:val="00002B22"/>
    <w:rsid w:val="0000301F"/>
    <w:rsid w:val="00003606"/>
    <w:rsid w:val="00004B8F"/>
    <w:rsid w:val="00005682"/>
    <w:rsid w:val="000061EC"/>
    <w:rsid w:val="00006479"/>
    <w:rsid w:val="000070DC"/>
    <w:rsid w:val="00010031"/>
    <w:rsid w:val="0001053D"/>
    <w:rsid w:val="00010B55"/>
    <w:rsid w:val="00010FBA"/>
    <w:rsid w:val="000112C2"/>
    <w:rsid w:val="00011E07"/>
    <w:rsid w:val="00012F9C"/>
    <w:rsid w:val="00013A77"/>
    <w:rsid w:val="00014C71"/>
    <w:rsid w:val="000158F0"/>
    <w:rsid w:val="00016031"/>
    <w:rsid w:val="00021DA7"/>
    <w:rsid w:val="0002407F"/>
    <w:rsid w:val="000273EE"/>
    <w:rsid w:val="0002761C"/>
    <w:rsid w:val="00030AD0"/>
    <w:rsid w:val="00031293"/>
    <w:rsid w:val="000322F2"/>
    <w:rsid w:val="000328F6"/>
    <w:rsid w:val="00033944"/>
    <w:rsid w:val="00034879"/>
    <w:rsid w:val="00034C4F"/>
    <w:rsid w:val="00035E6D"/>
    <w:rsid w:val="000368EB"/>
    <w:rsid w:val="00036C9B"/>
    <w:rsid w:val="00036DB5"/>
    <w:rsid w:val="00040023"/>
    <w:rsid w:val="00040230"/>
    <w:rsid w:val="00040644"/>
    <w:rsid w:val="000408A0"/>
    <w:rsid w:val="0004099D"/>
    <w:rsid w:val="00041069"/>
    <w:rsid w:val="00041C62"/>
    <w:rsid w:val="000432F7"/>
    <w:rsid w:val="00043398"/>
    <w:rsid w:val="00043F03"/>
    <w:rsid w:val="00043FD7"/>
    <w:rsid w:val="00044106"/>
    <w:rsid w:val="00044133"/>
    <w:rsid w:val="00045336"/>
    <w:rsid w:val="00046D0E"/>
    <w:rsid w:val="00046E1D"/>
    <w:rsid w:val="00051160"/>
    <w:rsid w:val="00051267"/>
    <w:rsid w:val="000516DC"/>
    <w:rsid w:val="000520CE"/>
    <w:rsid w:val="000522AE"/>
    <w:rsid w:val="0005283A"/>
    <w:rsid w:val="00053A14"/>
    <w:rsid w:val="00054E77"/>
    <w:rsid w:val="0005526F"/>
    <w:rsid w:val="00055421"/>
    <w:rsid w:val="000555C2"/>
    <w:rsid w:val="0006011A"/>
    <w:rsid w:val="00060209"/>
    <w:rsid w:val="00060D35"/>
    <w:rsid w:val="0006226D"/>
    <w:rsid w:val="00062E3E"/>
    <w:rsid w:val="00063950"/>
    <w:rsid w:val="00064285"/>
    <w:rsid w:val="00065238"/>
    <w:rsid w:val="00066CB7"/>
    <w:rsid w:val="00066F72"/>
    <w:rsid w:val="0007028B"/>
    <w:rsid w:val="000708C8"/>
    <w:rsid w:val="000709ED"/>
    <w:rsid w:val="000712A9"/>
    <w:rsid w:val="00072826"/>
    <w:rsid w:val="00072ABB"/>
    <w:rsid w:val="00072FCC"/>
    <w:rsid w:val="0007316A"/>
    <w:rsid w:val="00073D52"/>
    <w:rsid w:val="00074AF2"/>
    <w:rsid w:val="00076408"/>
    <w:rsid w:val="00081092"/>
    <w:rsid w:val="00081B02"/>
    <w:rsid w:val="00082926"/>
    <w:rsid w:val="00085A71"/>
    <w:rsid w:val="00086001"/>
    <w:rsid w:val="000862AA"/>
    <w:rsid w:val="00086B0D"/>
    <w:rsid w:val="0008771B"/>
    <w:rsid w:val="00090328"/>
    <w:rsid w:val="000909A2"/>
    <w:rsid w:val="00090D46"/>
    <w:rsid w:val="00090E97"/>
    <w:rsid w:val="000910CE"/>
    <w:rsid w:val="000913D6"/>
    <w:rsid w:val="00091DD2"/>
    <w:rsid w:val="00091F6F"/>
    <w:rsid w:val="0009341E"/>
    <w:rsid w:val="0009549F"/>
    <w:rsid w:val="00095511"/>
    <w:rsid w:val="000965CE"/>
    <w:rsid w:val="000A0C2A"/>
    <w:rsid w:val="000A138A"/>
    <w:rsid w:val="000A18A9"/>
    <w:rsid w:val="000A53E7"/>
    <w:rsid w:val="000A5AFB"/>
    <w:rsid w:val="000A5B45"/>
    <w:rsid w:val="000A5BBD"/>
    <w:rsid w:val="000A6053"/>
    <w:rsid w:val="000B232E"/>
    <w:rsid w:val="000B29AC"/>
    <w:rsid w:val="000B2F0E"/>
    <w:rsid w:val="000B351A"/>
    <w:rsid w:val="000B3772"/>
    <w:rsid w:val="000B3CCD"/>
    <w:rsid w:val="000B46F9"/>
    <w:rsid w:val="000B487F"/>
    <w:rsid w:val="000B6102"/>
    <w:rsid w:val="000B70B7"/>
    <w:rsid w:val="000B7173"/>
    <w:rsid w:val="000B75D1"/>
    <w:rsid w:val="000C07C6"/>
    <w:rsid w:val="000C5775"/>
    <w:rsid w:val="000C7518"/>
    <w:rsid w:val="000C7D82"/>
    <w:rsid w:val="000D2FAC"/>
    <w:rsid w:val="000D3002"/>
    <w:rsid w:val="000D3087"/>
    <w:rsid w:val="000D3AB2"/>
    <w:rsid w:val="000D3B77"/>
    <w:rsid w:val="000D55AC"/>
    <w:rsid w:val="000D5D54"/>
    <w:rsid w:val="000D64B7"/>
    <w:rsid w:val="000D64EA"/>
    <w:rsid w:val="000D7023"/>
    <w:rsid w:val="000D7119"/>
    <w:rsid w:val="000D7722"/>
    <w:rsid w:val="000D7DE9"/>
    <w:rsid w:val="000E0089"/>
    <w:rsid w:val="000E0934"/>
    <w:rsid w:val="000E1B82"/>
    <w:rsid w:val="000E4284"/>
    <w:rsid w:val="000E4D34"/>
    <w:rsid w:val="000E51F1"/>
    <w:rsid w:val="000E534E"/>
    <w:rsid w:val="000E627F"/>
    <w:rsid w:val="000E7349"/>
    <w:rsid w:val="000E7D93"/>
    <w:rsid w:val="000F102D"/>
    <w:rsid w:val="000F1603"/>
    <w:rsid w:val="000F1E48"/>
    <w:rsid w:val="000F1F20"/>
    <w:rsid w:val="000F23AF"/>
    <w:rsid w:val="000F2DCA"/>
    <w:rsid w:val="000F2EDF"/>
    <w:rsid w:val="000F3BCD"/>
    <w:rsid w:val="000F3C13"/>
    <w:rsid w:val="000F609F"/>
    <w:rsid w:val="000F6814"/>
    <w:rsid w:val="000F6D79"/>
    <w:rsid w:val="000F71BC"/>
    <w:rsid w:val="000F7828"/>
    <w:rsid w:val="000F7D15"/>
    <w:rsid w:val="00100AAA"/>
    <w:rsid w:val="00100CEB"/>
    <w:rsid w:val="00101521"/>
    <w:rsid w:val="001024A3"/>
    <w:rsid w:val="00102799"/>
    <w:rsid w:val="00103047"/>
    <w:rsid w:val="001039B9"/>
    <w:rsid w:val="00103BB4"/>
    <w:rsid w:val="00103D73"/>
    <w:rsid w:val="00103DAC"/>
    <w:rsid w:val="00104B5E"/>
    <w:rsid w:val="00104EEA"/>
    <w:rsid w:val="0011174B"/>
    <w:rsid w:val="00112DA8"/>
    <w:rsid w:val="00112F0B"/>
    <w:rsid w:val="00113A30"/>
    <w:rsid w:val="00114254"/>
    <w:rsid w:val="001152E4"/>
    <w:rsid w:val="0011643C"/>
    <w:rsid w:val="00116F9A"/>
    <w:rsid w:val="00117097"/>
    <w:rsid w:val="001170AF"/>
    <w:rsid w:val="00117C67"/>
    <w:rsid w:val="001206B6"/>
    <w:rsid w:val="00121436"/>
    <w:rsid w:val="001253EB"/>
    <w:rsid w:val="001266FC"/>
    <w:rsid w:val="0012750A"/>
    <w:rsid w:val="001276C0"/>
    <w:rsid w:val="0012791A"/>
    <w:rsid w:val="0013060F"/>
    <w:rsid w:val="0013075F"/>
    <w:rsid w:val="00132755"/>
    <w:rsid w:val="0013328F"/>
    <w:rsid w:val="001348EF"/>
    <w:rsid w:val="00134B92"/>
    <w:rsid w:val="0013506C"/>
    <w:rsid w:val="00135273"/>
    <w:rsid w:val="00135D02"/>
    <w:rsid w:val="0013633F"/>
    <w:rsid w:val="001405F1"/>
    <w:rsid w:val="00140DC8"/>
    <w:rsid w:val="00141F97"/>
    <w:rsid w:val="00144783"/>
    <w:rsid w:val="00144A9A"/>
    <w:rsid w:val="001462B2"/>
    <w:rsid w:val="00150C09"/>
    <w:rsid w:val="00151251"/>
    <w:rsid w:val="00151F1E"/>
    <w:rsid w:val="001526A4"/>
    <w:rsid w:val="001534B2"/>
    <w:rsid w:val="001548AA"/>
    <w:rsid w:val="00154FC0"/>
    <w:rsid w:val="0015535A"/>
    <w:rsid w:val="00155B97"/>
    <w:rsid w:val="00156218"/>
    <w:rsid w:val="00157465"/>
    <w:rsid w:val="001575AA"/>
    <w:rsid w:val="00157C44"/>
    <w:rsid w:val="001601B7"/>
    <w:rsid w:val="00160694"/>
    <w:rsid w:val="001616F1"/>
    <w:rsid w:val="001623DE"/>
    <w:rsid w:val="0016327C"/>
    <w:rsid w:val="00163970"/>
    <w:rsid w:val="001643D1"/>
    <w:rsid w:val="00164DDB"/>
    <w:rsid w:val="00165521"/>
    <w:rsid w:val="00165B07"/>
    <w:rsid w:val="00165EBD"/>
    <w:rsid w:val="00166028"/>
    <w:rsid w:val="001668E3"/>
    <w:rsid w:val="00166A92"/>
    <w:rsid w:val="00166B43"/>
    <w:rsid w:val="00166E7F"/>
    <w:rsid w:val="00167307"/>
    <w:rsid w:val="00167546"/>
    <w:rsid w:val="0016782E"/>
    <w:rsid w:val="00170EBD"/>
    <w:rsid w:val="00171EFC"/>
    <w:rsid w:val="0017225B"/>
    <w:rsid w:val="00172895"/>
    <w:rsid w:val="00173037"/>
    <w:rsid w:val="00173C1C"/>
    <w:rsid w:val="00173DC0"/>
    <w:rsid w:val="00176B6C"/>
    <w:rsid w:val="001777D4"/>
    <w:rsid w:val="001777EC"/>
    <w:rsid w:val="00181ACA"/>
    <w:rsid w:val="0018211B"/>
    <w:rsid w:val="001824F7"/>
    <w:rsid w:val="001827C0"/>
    <w:rsid w:val="00182CB7"/>
    <w:rsid w:val="00183110"/>
    <w:rsid w:val="001836EE"/>
    <w:rsid w:val="00183DCD"/>
    <w:rsid w:val="001844D1"/>
    <w:rsid w:val="001854ED"/>
    <w:rsid w:val="00185861"/>
    <w:rsid w:val="00185BF0"/>
    <w:rsid w:val="0018684F"/>
    <w:rsid w:val="00186A65"/>
    <w:rsid w:val="00186FE9"/>
    <w:rsid w:val="00187667"/>
    <w:rsid w:val="001878A4"/>
    <w:rsid w:val="001879CE"/>
    <w:rsid w:val="001911EF"/>
    <w:rsid w:val="001930F2"/>
    <w:rsid w:val="0019356B"/>
    <w:rsid w:val="00194A23"/>
    <w:rsid w:val="00194B00"/>
    <w:rsid w:val="00195231"/>
    <w:rsid w:val="00195712"/>
    <w:rsid w:val="00195D22"/>
    <w:rsid w:val="00195DA6"/>
    <w:rsid w:val="001978AB"/>
    <w:rsid w:val="001A0275"/>
    <w:rsid w:val="001A03C2"/>
    <w:rsid w:val="001A07B9"/>
    <w:rsid w:val="001A0C9F"/>
    <w:rsid w:val="001A0F71"/>
    <w:rsid w:val="001A24AC"/>
    <w:rsid w:val="001A30BA"/>
    <w:rsid w:val="001A3F68"/>
    <w:rsid w:val="001A4068"/>
    <w:rsid w:val="001A505C"/>
    <w:rsid w:val="001A75BA"/>
    <w:rsid w:val="001A7600"/>
    <w:rsid w:val="001A7B1B"/>
    <w:rsid w:val="001B08B6"/>
    <w:rsid w:val="001B1A20"/>
    <w:rsid w:val="001B29D1"/>
    <w:rsid w:val="001B2A00"/>
    <w:rsid w:val="001B4026"/>
    <w:rsid w:val="001B4147"/>
    <w:rsid w:val="001B456F"/>
    <w:rsid w:val="001B52A8"/>
    <w:rsid w:val="001B59BD"/>
    <w:rsid w:val="001B5B44"/>
    <w:rsid w:val="001C1E64"/>
    <w:rsid w:val="001C2490"/>
    <w:rsid w:val="001C25F8"/>
    <w:rsid w:val="001C58E6"/>
    <w:rsid w:val="001C5E83"/>
    <w:rsid w:val="001C67F0"/>
    <w:rsid w:val="001C6AC9"/>
    <w:rsid w:val="001C7032"/>
    <w:rsid w:val="001C7DA5"/>
    <w:rsid w:val="001D0C51"/>
    <w:rsid w:val="001D10C9"/>
    <w:rsid w:val="001D1FFC"/>
    <w:rsid w:val="001D2431"/>
    <w:rsid w:val="001D2EAD"/>
    <w:rsid w:val="001D384C"/>
    <w:rsid w:val="001D455E"/>
    <w:rsid w:val="001D4BFC"/>
    <w:rsid w:val="001D5BC0"/>
    <w:rsid w:val="001D5C28"/>
    <w:rsid w:val="001D637C"/>
    <w:rsid w:val="001D69F5"/>
    <w:rsid w:val="001E0749"/>
    <w:rsid w:val="001E3104"/>
    <w:rsid w:val="001E3450"/>
    <w:rsid w:val="001E3F88"/>
    <w:rsid w:val="001E61DF"/>
    <w:rsid w:val="001E680B"/>
    <w:rsid w:val="001E686B"/>
    <w:rsid w:val="001E7240"/>
    <w:rsid w:val="001E7B7B"/>
    <w:rsid w:val="001F083B"/>
    <w:rsid w:val="001F0B60"/>
    <w:rsid w:val="001F0EB5"/>
    <w:rsid w:val="001F1039"/>
    <w:rsid w:val="001F1711"/>
    <w:rsid w:val="001F1902"/>
    <w:rsid w:val="001F2362"/>
    <w:rsid w:val="001F2F15"/>
    <w:rsid w:val="001F380D"/>
    <w:rsid w:val="001F4874"/>
    <w:rsid w:val="001F4D3C"/>
    <w:rsid w:val="001F509B"/>
    <w:rsid w:val="001F5138"/>
    <w:rsid w:val="001F516B"/>
    <w:rsid w:val="001F5B72"/>
    <w:rsid w:val="001F6129"/>
    <w:rsid w:val="001F65D3"/>
    <w:rsid w:val="001F693F"/>
    <w:rsid w:val="001F72D3"/>
    <w:rsid w:val="00200D07"/>
    <w:rsid w:val="00200E5C"/>
    <w:rsid w:val="0020127D"/>
    <w:rsid w:val="002015FA"/>
    <w:rsid w:val="00201EE5"/>
    <w:rsid w:val="002023FE"/>
    <w:rsid w:val="0020267B"/>
    <w:rsid w:val="00203148"/>
    <w:rsid w:val="00205030"/>
    <w:rsid w:val="00210FFA"/>
    <w:rsid w:val="00211677"/>
    <w:rsid w:val="00212674"/>
    <w:rsid w:val="00212787"/>
    <w:rsid w:val="002146FB"/>
    <w:rsid w:val="00215630"/>
    <w:rsid w:val="00215A0D"/>
    <w:rsid w:val="00215ABC"/>
    <w:rsid w:val="00217843"/>
    <w:rsid w:val="002204DC"/>
    <w:rsid w:val="00220BB2"/>
    <w:rsid w:val="002212F0"/>
    <w:rsid w:val="00223BA8"/>
    <w:rsid w:val="002242F3"/>
    <w:rsid w:val="002251B9"/>
    <w:rsid w:val="00226D89"/>
    <w:rsid w:val="00227966"/>
    <w:rsid w:val="00227A74"/>
    <w:rsid w:val="00227EC4"/>
    <w:rsid w:val="00230A6E"/>
    <w:rsid w:val="00230EE5"/>
    <w:rsid w:val="002310AF"/>
    <w:rsid w:val="00231F66"/>
    <w:rsid w:val="00232189"/>
    <w:rsid w:val="00234848"/>
    <w:rsid w:val="00236DC4"/>
    <w:rsid w:val="00236E40"/>
    <w:rsid w:val="00237214"/>
    <w:rsid w:val="0023782C"/>
    <w:rsid w:val="00237F69"/>
    <w:rsid w:val="00240558"/>
    <w:rsid w:val="00240CB5"/>
    <w:rsid w:val="00241B8F"/>
    <w:rsid w:val="00241D28"/>
    <w:rsid w:val="00242017"/>
    <w:rsid w:val="0024209A"/>
    <w:rsid w:val="00242380"/>
    <w:rsid w:val="00242D4F"/>
    <w:rsid w:val="00242E02"/>
    <w:rsid w:val="00242F0E"/>
    <w:rsid w:val="002448A2"/>
    <w:rsid w:val="00246AD0"/>
    <w:rsid w:val="00246B53"/>
    <w:rsid w:val="00247674"/>
    <w:rsid w:val="002478D7"/>
    <w:rsid w:val="0024791E"/>
    <w:rsid w:val="002506E2"/>
    <w:rsid w:val="00250775"/>
    <w:rsid w:val="002512CA"/>
    <w:rsid w:val="002519AE"/>
    <w:rsid w:val="00251F99"/>
    <w:rsid w:val="0025355A"/>
    <w:rsid w:val="0025366A"/>
    <w:rsid w:val="0025445D"/>
    <w:rsid w:val="002547BE"/>
    <w:rsid w:val="00254A1C"/>
    <w:rsid w:val="00254FB5"/>
    <w:rsid w:val="0025558D"/>
    <w:rsid w:val="002562DC"/>
    <w:rsid w:val="0025653E"/>
    <w:rsid w:val="00257244"/>
    <w:rsid w:val="002604DA"/>
    <w:rsid w:val="0026060C"/>
    <w:rsid w:val="00260719"/>
    <w:rsid w:val="002608CB"/>
    <w:rsid w:val="00260A5B"/>
    <w:rsid w:val="002615FE"/>
    <w:rsid w:val="00261FA1"/>
    <w:rsid w:val="002620BE"/>
    <w:rsid w:val="00262687"/>
    <w:rsid w:val="00262721"/>
    <w:rsid w:val="00262A0D"/>
    <w:rsid w:val="002631DE"/>
    <w:rsid w:val="002644EE"/>
    <w:rsid w:val="00265AAE"/>
    <w:rsid w:val="00265D4B"/>
    <w:rsid w:val="00266723"/>
    <w:rsid w:val="00266731"/>
    <w:rsid w:val="00267195"/>
    <w:rsid w:val="00267754"/>
    <w:rsid w:val="00271B5D"/>
    <w:rsid w:val="00271C98"/>
    <w:rsid w:val="002728BF"/>
    <w:rsid w:val="00272B91"/>
    <w:rsid w:val="00273C15"/>
    <w:rsid w:val="00273C71"/>
    <w:rsid w:val="00273D9F"/>
    <w:rsid w:val="00273DC2"/>
    <w:rsid w:val="00274464"/>
    <w:rsid w:val="002745CF"/>
    <w:rsid w:val="00274E8A"/>
    <w:rsid w:val="00276174"/>
    <w:rsid w:val="00276DEF"/>
    <w:rsid w:val="0027751C"/>
    <w:rsid w:val="00277D48"/>
    <w:rsid w:val="002800E8"/>
    <w:rsid w:val="00280609"/>
    <w:rsid w:val="002824DB"/>
    <w:rsid w:val="002831CA"/>
    <w:rsid w:val="002839E0"/>
    <w:rsid w:val="002853F4"/>
    <w:rsid w:val="00285815"/>
    <w:rsid w:val="0028751F"/>
    <w:rsid w:val="00291680"/>
    <w:rsid w:val="002922DE"/>
    <w:rsid w:val="00293AF6"/>
    <w:rsid w:val="002947E8"/>
    <w:rsid w:val="00294BCC"/>
    <w:rsid w:val="00295FCA"/>
    <w:rsid w:val="00296205"/>
    <w:rsid w:val="002973FA"/>
    <w:rsid w:val="00297A36"/>
    <w:rsid w:val="002A1610"/>
    <w:rsid w:val="002A23FD"/>
    <w:rsid w:val="002A24F9"/>
    <w:rsid w:val="002A2E6D"/>
    <w:rsid w:val="002A4E78"/>
    <w:rsid w:val="002A4F49"/>
    <w:rsid w:val="002A5BDF"/>
    <w:rsid w:val="002A658B"/>
    <w:rsid w:val="002B1879"/>
    <w:rsid w:val="002B18C4"/>
    <w:rsid w:val="002B344C"/>
    <w:rsid w:val="002B40FF"/>
    <w:rsid w:val="002B4121"/>
    <w:rsid w:val="002B43DF"/>
    <w:rsid w:val="002B504C"/>
    <w:rsid w:val="002B553A"/>
    <w:rsid w:val="002B6F03"/>
    <w:rsid w:val="002B7D2E"/>
    <w:rsid w:val="002C01E9"/>
    <w:rsid w:val="002C1AEC"/>
    <w:rsid w:val="002C1CC8"/>
    <w:rsid w:val="002C1F65"/>
    <w:rsid w:val="002C2817"/>
    <w:rsid w:val="002C3445"/>
    <w:rsid w:val="002C3D66"/>
    <w:rsid w:val="002C4199"/>
    <w:rsid w:val="002C42A0"/>
    <w:rsid w:val="002C46F9"/>
    <w:rsid w:val="002C4BB6"/>
    <w:rsid w:val="002C545B"/>
    <w:rsid w:val="002C5909"/>
    <w:rsid w:val="002C6130"/>
    <w:rsid w:val="002C7879"/>
    <w:rsid w:val="002C7E1E"/>
    <w:rsid w:val="002D08AA"/>
    <w:rsid w:val="002D19CA"/>
    <w:rsid w:val="002D510A"/>
    <w:rsid w:val="002D58E0"/>
    <w:rsid w:val="002D764E"/>
    <w:rsid w:val="002E1361"/>
    <w:rsid w:val="002E1617"/>
    <w:rsid w:val="002E2124"/>
    <w:rsid w:val="002E21E5"/>
    <w:rsid w:val="002E2969"/>
    <w:rsid w:val="002E2AD2"/>
    <w:rsid w:val="002E35C8"/>
    <w:rsid w:val="002E4771"/>
    <w:rsid w:val="002E4B74"/>
    <w:rsid w:val="002E4EC3"/>
    <w:rsid w:val="002E5814"/>
    <w:rsid w:val="002E581D"/>
    <w:rsid w:val="002E6513"/>
    <w:rsid w:val="002E69A0"/>
    <w:rsid w:val="002F0FC2"/>
    <w:rsid w:val="002F150D"/>
    <w:rsid w:val="002F19DC"/>
    <w:rsid w:val="002F1AEE"/>
    <w:rsid w:val="002F1F1C"/>
    <w:rsid w:val="002F2C66"/>
    <w:rsid w:val="002F544C"/>
    <w:rsid w:val="002F5A03"/>
    <w:rsid w:val="002F5DCA"/>
    <w:rsid w:val="002F5EE4"/>
    <w:rsid w:val="002F61A1"/>
    <w:rsid w:val="002F7816"/>
    <w:rsid w:val="00300A23"/>
    <w:rsid w:val="00300C31"/>
    <w:rsid w:val="0030117F"/>
    <w:rsid w:val="003016CD"/>
    <w:rsid w:val="0030292D"/>
    <w:rsid w:val="003031FC"/>
    <w:rsid w:val="00304811"/>
    <w:rsid w:val="003048D3"/>
    <w:rsid w:val="00305CD3"/>
    <w:rsid w:val="00307932"/>
    <w:rsid w:val="003110F4"/>
    <w:rsid w:val="003125A6"/>
    <w:rsid w:val="0031261A"/>
    <w:rsid w:val="00312AD2"/>
    <w:rsid w:val="0031368A"/>
    <w:rsid w:val="00313F6E"/>
    <w:rsid w:val="00314B54"/>
    <w:rsid w:val="00315F9A"/>
    <w:rsid w:val="00317397"/>
    <w:rsid w:val="0031757D"/>
    <w:rsid w:val="0032060C"/>
    <w:rsid w:val="003208AA"/>
    <w:rsid w:val="00320A13"/>
    <w:rsid w:val="0032196E"/>
    <w:rsid w:val="00321DCB"/>
    <w:rsid w:val="00323390"/>
    <w:rsid w:val="00323633"/>
    <w:rsid w:val="00324990"/>
    <w:rsid w:val="003264EB"/>
    <w:rsid w:val="00326BFB"/>
    <w:rsid w:val="00327040"/>
    <w:rsid w:val="00327F3A"/>
    <w:rsid w:val="0033020D"/>
    <w:rsid w:val="00330808"/>
    <w:rsid w:val="00330F33"/>
    <w:rsid w:val="003312BF"/>
    <w:rsid w:val="00331872"/>
    <w:rsid w:val="00335010"/>
    <w:rsid w:val="0033604D"/>
    <w:rsid w:val="003375E4"/>
    <w:rsid w:val="00337B59"/>
    <w:rsid w:val="00340ACF"/>
    <w:rsid w:val="00342E6F"/>
    <w:rsid w:val="00343686"/>
    <w:rsid w:val="00343EFC"/>
    <w:rsid w:val="003442C4"/>
    <w:rsid w:val="00345690"/>
    <w:rsid w:val="003456AC"/>
    <w:rsid w:val="00346098"/>
    <w:rsid w:val="003461C4"/>
    <w:rsid w:val="00346601"/>
    <w:rsid w:val="00346E47"/>
    <w:rsid w:val="00347861"/>
    <w:rsid w:val="00347B9C"/>
    <w:rsid w:val="00351013"/>
    <w:rsid w:val="0035121D"/>
    <w:rsid w:val="0035121F"/>
    <w:rsid w:val="003515A2"/>
    <w:rsid w:val="0035290D"/>
    <w:rsid w:val="00352F7B"/>
    <w:rsid w:val="003544AB"/>
    <w:rsid w:val="0035468C"/>
    <w:rsid w:val="00354ABB"/>
    <w:rsid w:val="003553F4"/>
    <w:rsid w:val="00356061"/>
    <w:rsid w:val="00356C8A"/>
    <w:rsid w:val="003607FF"/>
    <w:rsid w:val="00360D58"/>
    <w:rsid w:val="003615E6"/>
    <w:rsid w:val="00361AD7"/>
    <w:rsid w:val="00361D92"/>
    <w:rsid w:val="003628D8"/>
    <w:rsid w:val="0036301A"/>
    <w:rsid w:val="00364144"/>
    <w:rsid w:val="0036695A"/>
    <w:rsid w:val="00366FF6"/>
    <w:rsid w:val="003670DA"/>
    <w:rsid w:val="00367314"/>
    <w:rsid w:val="00367556"/>
    <w:rsid w:val="00371555"/>
    <w:rsid w:val="00371CA9"/>
    <w:rsid w:val="00371FE2"/>
    <w:rsid w:val="00372018"/>
    <w:rsid w:val="003721E9"/>
    <w:rsid w:val="00372841"/>
    <w:rsid w:val="00372B14"/>
    <w:rsid w:val="00373721"/>
    <w:rsid w:val="00374F84"/>
    <w:rsid w:val="0037565D"/>
    <w:rsid w:val="00375F7B"/>
    <w:rsid w:val="0037690A"/>
    <w:rsid w:val="0038003B"/>
    <w:rsid w:val="00380580"/>
    <w:rsid w:val="00381063"/>
    <w:rsid w:val="0038187D"/>
    <w:rsid w:val="00384165"/>
    <w:rsid w:val="0038450D"/>
    <w:rsid w:val="003846FC"/>
    <w:rsid w:val="003850A9"/>
    <w:rsid w:val="003856D8"/>
    <w:rsid w:val="0038663C"/>
    <w:rsid w:val="003874B1"/>
    <w:rsid w:val="00387D12"/>
    <w:rsid w:val="00390166"/>
    <w:rsid w:val="00391880"/>
    <w:rsid w:val="003922C4"/>
    <w:rsid w:val="00392B78"/>
    <w:rsid w:val="0039340B"/>
    <w:rsid w:val="003936B4"/>
    <w:rsid w:val="00393803"/>
    <w:rsid w:val="0039488A"/>
    <w:rsid w:val="003948BC"/>
    <w:rsid w:val="00395673"/>
    <w:rsid w:val="003974FB"/>
    <w:rsid w:val="003A1540"/>
    <w:rsid w:val="003A1CD9"/>
    <w:rsid w:val="003A4EA0"/>
    <w:rsid w:val="003A50B6"/>
    <w:rsid w:val="003A5AA8"/>
    <w:rsid w:val="003A632C"/>
    <w:rsid w:val="003A690F"/>
    <w:rsid w:val="003A6BD1"/>
    <w:rsid w:val="003A7066"/>
    <w:rsid w:val="003A712C"/>
    <w:rsid w:val="003A7DB5"/>
    <w:rsid w:val="003B0A80"/>
    <w:rsid w:val="003B170D"/>
    <w:rsid w:val="003B1B63"/>
    <w:rsid w:val="003B1FD0"/>
    <w:rsid w:val="003B2642"/>
    <w:rsid w:val="003B2FCD"/>
    <w:rsid w:val="003B4839"/>
    <w:rsid w:val="003B5ABD"/>
    <w:rsid w:val="003B79F5"/>
    <w:rsid w:val="003C0DB4"/>
    <w:rsid w:val="003C1570"/>
    <w:rsid w:val="003C1DAF"/>
    <w:rsid w:val="003C1E14"/>
    <w:rsid w:val="003C1E8E"/>
    <w:rsid w:val="003C2C93"/>
    <w:rsid w:val="003C3BF0"/>
    <w:rsid w:val="003C403C"/>
    <w:rsid w:val="003C4229"/>
    <w:rsid w:val="003C42BA"/>
    <w:rsid w:val="003C5456"/>
    <w:rsid w:val="003C5E36"/>
    <w:rsid w:val="003C653E"/>
    <w:rsid w:val="003C6A59"/>
    <w:rsid w:val="003D2BAA"/>
    <w:rsid w:val="003D3690"/>
    <w:rsid w:val="003D503A"/>
    <w:rsid w:val="003D6897"/>
    <w:rsid w:val="003D79D4"/>
    <w:rsid w:val="003E081B"/>
    <w:rsid w:val="003E0E1A"/>
    <w:rsid w:val="003E1664"/>
    <w:rsid w:val="003E1688"/>
    <w:rsid w:val="003E1F1A"/>
    <w:rsid w:val="003E24DE"/>
    <w:rsid w:val="003E2BFD"/>
    <w:rsid w:val="003E370E"/>
    <w:rsid w:val="003E5CE8"/>
    <w:rsid w:val="003E6023"/>
    <w:rsid w:val="003E72F8"/>
    <w:rsid w:val="003E738E"/>
    <w:rsid w:val="003F14F7"/>
    <w:rsid w:val="003F19A5"/>
    <w:rsid w:val="003F1A40"/>
    <w:rsid w:val="003F1DE6"/>
    <w:rsid w:val="003F3E42"/>
    <w:rsid w:val="003F41A2"/>
    <w:rsid w:val="003F46EF"/>
    <w:rsid w:val="003F4E22"/>
    <w:rsid w:val="003F4E29"/>
    <w:rsid w:val="003F5658"/>
    <w:rsid w:val="003F6052"/>
    <w:rsid w:val="003F63A1"/>
    <w:rsid w:val="003F65D0"/>
    <w:rsid w:val="003F6A43"/>
    <w:rsid w:val="00400A0F"/>
    <w:rsid w:val="00400CC0"/>
    <w:rsid w:val="00400ED2"/>
    <w:rsid w:val="00401307"/>
    <w:rsid w:val="0040204E"/>
    <w:rsid w:val="00402224"/>
    <w:rsid w:val="00402E8B"/>
    <w:rsid w:val="00403DA7"/>
    <w:rsid w:val="004045A7"/>
    <w:rsid w:val="00404A76"/>
    <w:rsid w:val="00404B27"/>
    <w:rsid w:val="00404CF0"/>
    <w:rsid w:val="004050BB"/>
    <w:rsid w:val="004059BE"/>
    <w:rsid w:val="00406971"/>
    <w:rsid w:val="00406CCA"/>
    <w:rsid w:val="00407184"/>
    <w:rsid w:val="00407306"/>
    <w:rsid w:val="00407ECE"/>
    <w:rsid w:val="004119E0"/>
    <w:rsid w:val="00411CC5"/>
    <w:rsid w:val="004122E8"/>
    <w:rsid w:val="00412D11"/>
    <w:rsid w:val="00412DA5"/>
    <w:rsid w:val="004141C2"/>
    <w:rsid w:val="00414AD5"/>
    <w:rsid w:val="0042059B"/>
    <w:rsid w:val="0042065F"/>
    <w:rsid w:val="0042095C"/>
    <w:rsid w:val="00421A45"/>
    <w:rsid w:val="00421B2F"/>
    <w:rsid w:val="00421D24"/>
    <w:rsid w:val="00422682"/>
    <w:rsid w:val="00422EC2"/>
    <w:rsid w:val="00424C53"/>
    <w:rsid w:val="0042564F"/>
    <w:rsid w:val="00427048"/>
    <w:rsid w:val="004274B2"/>
    <w:rsid w:val="00427805"/>
    <w:rsid w:val="004300FD"/>
    <w:rsid w:val="00430EE7"/>
    <w:rsid w:val="00432A65"/>
    <w:rsid w:val="00432AE3"/>
    <w:rsid w:val="00432DCB"/>
    <w:rsid w:val="00433389"/>
    <w:rsid w:val="0043353A"/>
    <w:rsid w:val="00435008"/>
    <w:rsid w:val="00435155"/>
    <w:rsid w:val="00436674"/>
    <w:rsid w:val="00441ADA"/>
    <w:rsid w:val="00443B09"/>
    <w:rsid w:val="0044511F"/>
    <w:rsid w:val="00445246"/>
    <w:rsid w:val="00446BCA"/>
    <w:rsid w:val="00446F26"/>
    <w:rsid w:val="00447268"/>
    <w:rsid w:val="00447EC0"/>
    <w:rsid w:val="0045042B"/>
    <w:rsid w:val="00450F86"/>
    <w:rsid w:val="00451EFB"/>
    <w:rsid w:val="004527EF"/>
    <w:rsid w:val="00453747"/>
    <w:rsid w:val="004537A7"/>
    <w:rsid w:val="00453F30"/>
    <w:rsid w:val="00453FDD"/>
    <w:rsid w:val="00454026"/>
    <w:rsid w:val="004543CC"/>
    <w:rsid w:val="00454655"/>
    <w:rsid w:val="004556E9"/>
    <w:rsid w:val="0045612F"/>
    <w:rsid w:val="00456DAF"/>
    <w:rsid w:val="00456E39"/>
    <w:rsid w:val="00460C92"/>
    <w:rsid w:val="00463C3A"/>
    <w:rsid w:val="00464A86"/>
    <w:rsid w:val="00466378"/>
    <w:rsid w:val="0046645B"/>
    <w:rsid w:val="00466F58"/>
    <w:rsid w:val="00467576"/>
    <w:rsid w:val="00470880"/>
    <w:rsid w:val="00470F49"/>
    <w:rsid w:val="004710A5"/>
    <w:rsid w:val="00472957"/>
    <w:rsid w:val="00472B99"/>
    <w:rsid w:val="00472D5A"/>
    <w:rsid w:val="004740ED"/>
    <w:rsid w:val="0047488D"/>
    <w:rsid w:val="004748B3"/>
    <w:rsid w:val="00474B86"/>
    <w:rsid w:val="004757B6"/>
    <w:rsid w:val="00475831"/>
    <w:rsid w:val="00476BCD"/>
    <w:rsid w:val="00477DD8"/>
    <w:rsid w:val="00477DF7"/>
    <w:rsid w:val="0048033C"/>
    <w:rsid w:val="004817EF"/>
    <w:rsid w:val="0048259E"/>
    <w:rsid w:val="00482EFD"/>
    <w:rsid w:val="004833DC"/>
    <w:rsid w:val="004836EE"/>
    <w:rsid w:val="00483716"/>
    <w:rsid w:val="00484777"/>
    <w:rsid w:val="004851D8"/>
    <w:rsid w:val="00485A3A"/>
    <w:rsid w:val="00490AA0"/>
    <w:rsid w:val="00490B27"/>
    <w:rsid w:val="00491267"/>
    <w:rsid w:val="00491DD3"/>
    <w:rsid w:val="004942B8"/>
    <w:rsid w:val="00494CBD"/>
    <w:rsid w:val="00494D5E"/>
    <w:rsid w:val="0049572A"/>
    <w:rsid w:val="00495D61"/>
    <w:rsid w:val="00496FF6"/>
    <w:rsid w:val="004A0095"/>
    <w:rsid w:val="004A070A"/>
    <w:rsid w:val="004A0814"/>
    <w:rsid w:val="004A0E0A"/>
    <w:rsid w:val="004A0F8B"/>
    <w:rsid w:val="004A187A"/>
    <w:rsid w:val="004A1DDB"/>
    <w:rsid w:val="004A2E66"/>
    <w:rsid w:val="004A36D5"/>
    <w:rsid w:val="004A7800"/>
    <w:rsid w:val="004B0004"/>
    <w:rsid w:val="004B012B"/>
    <w:rsid w:val="004B09FB"/>
    <w:rsid w:val="004B14B9"/>
    <w:rsid w:val="004B1549"/>
    <w:rsid w:val="004B155A"/>
    <w:rsid w:val="004B2D4C"/>
    <w:rsid w:val="004B423D"/>
    <w:rsid w:val="004B4878"/>
    <w:rsid w:val="004B4B5B"/>
    <w:rsid w:val="004B50F6"/>
    <w:rsid w:val="004B553A"/>
    <w:rsid w:val="004B5DE9"/>
    <w:rsid w:val="004B7C0D"/>
    <w:rsid w:val="004C1FA6"/>
    <w:rsid w:val="004C3E6C"/>
    <w:rsid w:val="004C41C9"/>
    <w:rsid w:val="004C449F"/>
    <w:rsid w:val="004C4673"/>
    <w:rsid w:val="004C4E12"/>
    <w:rsid w:val="004C7B41"/>
    <w:rsid w:val="004D004D"/>
    <w:rsid w:val="004D01E7"/>
    <w:rsid w:val="004D0957"/>
    <w:rsid w:val="004D2FE5"/>
    <w:rsid w:val="004D3326"/>
    <w:rsid w:val="004D3B71"/>
    <w:rsid w:val="004D6CB1"/>
    <w:rsid w:val="004D73F2"/>
    <w:rsid w:val="004D775D"/>
    <w:rsid w:val="004D7AD7"/>
    <w:rsid w:val="004E08CE"/>
    <w:rsid w:val="004E0F66"/>
    <w:rsid w:val="004E227A"/>
    <w:rsid w:val="004E3195"/>
    <w:rsid w:val="004E3DC1"/>
    <w:rsid w:val="004E4D55"/>
    <w:rsid w:val="004E556A"/>
    <w:rsid w:val="004E6755"/>
    <w:rsid w:val="004E6BDE"/>
    <w:rsid w:val="004E7593"/>
    <w:rsid w:val="004F08D2"/>
    <w:rsid w:val="004F1DAE"/>
    <w:rsid w:val="004F2533"/>
    <w:rsid w:val="004F4AF5"/>
    <w:rsid w:val="004F4BC1"/>
    <w:rsid w:val="004F52FC"/>
    <w:rsid w:val="004F5E83"/>
    <w:rsid w:val="00501981"/>
    <w:rsid w:val="00501E22"/>
    <w:rsid w:val="0050251F"/>
    <w:rsid w:val="005030BB"/>
    <w:rsid w:val="00505232"/>
    <w:rsid w:val="0050652F"/>
    <w:rsid w:val="00507029"/>
    <w:rsid w:val="00507A41"/>
    <w:rsid w:val="00507AAD"/>
    <w:rsid w:val="005103A0"/>
    <w:rsid w:val="00511031"/>
    <w:rsid w:val="00511469"/>
    <w:rsid w:val="005123DE"/>
    <w:rsid w:val="00512F6E"/>
    <w:rsid w:val="00513579"/>
    <w:rsid w:val="00513FA7"/>
    <w:rsid w:val="00514F8B"/>
    <w:rsid w:val="00515327"/>
    <w:rsid w:val="00515BD7"/>
    <w:rsid w:val="00517445"/>
    <w:rsid w:val="00517E1E"/>
    <w:rsid w:val="00520056"/>
    <w:rsid w:val="00520A50"/>
    <w:rsid w:val="0052107E"/>
    <w:rsid w:val="005223E4"/>
    <w:rsid w:val="00522CCD"/>
    <w:rsid w:val="00523785"/>
    <w:rsid w:val="005241BF"/>
    <w:rsid w:val="00525814"/>
    <w:rsid w:val="005259BC"/>
    <w:rsid w:val="005260F2"/>
    <w:rsid w:val="00527F8D"/>
    <w:rsid w:val="00530166"/>
    <w:rsid w:val="005305A1"/>
    <w:rsid w:val="00530677"/>
    <w:rsid w:val="00532BDD"/>
    <w:rsid w:val="005344D2"/>
    <w:rsid w:val="00535F7A"/>
    <w:rsid w:val="00536299"/>
    <w:rsid w:val="00536552"/>
    <w:rsid w:val="00540332"/>
    <w:rsid w:val="005408A5"/>
    <w:rsid w:val="00540F58"/>
    <w:rsid w:val="00541041"/>
    <w:rsid w:val="00541856"/>
    <w:rsid w:val="00542446"/>
    <w:rsid w:val="0054286B"/>
    <w:rsid w:val="0054353A"/>
    <w:rsid w:val="0054615B"/>
    <w:rsid w:val="00547609"/>
    <w:rsid w:val="005477FA"/>
    <w:rsid w:val="005519FF"/>
    <w:rsid w:val="00552C71"/>
    <w:rsid w:val="00552D5E"/>
    <w:rsid w:val="005537D8"/>
    <w:rsid w:val="0055499F"/>
    <w:rsid w:val="00555AE9"/>
    <w:rsid w:val="00557958"/>
    <w:rsid w:val="00560AFC"/>
    <w:rsid w:val="00562E90"/>
    <w:rsid w:val="005631EA"/>
    <w:rsid w:val="005634A2"/>
    <w:rsid w:val="00563EF2"/>
    <w:rsid w:val="00564278"/>
    <w:rsid w:val="00566257"/>
    <w:rsid w:val="00566889"/>
    <w:rsid w:val="0056711F"/>
    <w:rsid w:val="005707E7"/>
    <w:rsid w:val="00570A95"/>
    <w:rsid w:val="00572249"/>
    <w:rsid w:val="00572A35"/>
    <w:rsid w:val="0057301D"/>
    <w:rsid w:val="00574E0B"/>
    <w:rsid w:val="00575214"/>
    <w:rsid w:val="00575335"/>
    <w:rsid w:val="00575DF2"/>
    <w:rsid w:val="00577679"/>
    <w:rsid w:val="005810F8"/>
    <w:rsid w:val="00581AED"/>
    <w:rsid w:val="005820DE"/>
    <w:rsid w:val="0058235B"/>
    <w:rsid w:val="005826AD"/>
    <w:rsid w:val="00584DBC"/>
    <w:rsid w:val="00584FE5"/>
    <w:rsid w:val="0058577D"/>
    <w:rsid w:val="00585FF7"/>
    <w:rsid w:val="00586539"/>
    <w:rsid w:val="00586B52"/>
    <w:rsid w:val="005873B3"/>
    <w:rsid w:val="0059065C"/>
    <w:rsid w:val="005909D4"/>
    <w:rsid w:val="005944B2"/>
    <w:rsid w:val="005948C1"/>
    <w:rsid w:val="0059501B"/>
    <w:rsid w:val="005957D0"/>
    <w:rsid w:val="00595B5A"/>
    <w:rsid w:val="00595E55"/>
    <w:rsid w:val="00595FFA"/>
    <w:rsid w:val="0059625B"/>
    <w:rsid w:val="005972C6"/>
    <w:rsid w:val="0059740F"/>
    <w:rsid w:val="005A0464"/>
    <w:rsid w:val="005A1053"/>
    <w:rsid w:val="005A1548"/>
    <w:rsid w:val="005A217C"/>
    <w:rsid w:val="005A308F"/>
    <w:rsid w:val="005A32AE"/>
    <w:rsid w:val="005A3CDD"/>
    <w:rsid w:val="005A7CF7"/>
    <w:rsid w:val="005A7CFE"/>
    <w:rsid w:val="005B06D9"/>
    <w:rsid w:val="005B201B"/>
    <w:rsid w:val="005B2BFD"/>
    <w:rsid w:val="005B2EB1"/>
    <w:rsid w:val="005B4DA2"/>
    <w:rsid w:val="005B5801"/>
    <w:rsid w:val="005B6536"/>
    <w:rsid w:val="005B66E6"/>
    <w:rsid w:val="005B6788"/>
    <w:rsid w:val="005B7943"/>
    <w:rsid w:val="005C03E4"/>
    <w:rsid w:val="005C07FF"/>
    <w:rsid w:val="005C11C3"/>
    <w:rsid w:val="005C26A2"/>
    <w:rsid w:val="005C32A8"/>
    <w:rsid w:val="005C3F1F"/>
    <w:rsid w:val="005C40C1"/>
    <w:rsid w:val="005C53F3"/>
    <w:rsid w:val="005C5CA8"/>
    <w:rsid w:val="005C5CB1"/>
    <w:rsid w:val="005C5E35"/>
    <w:rsid w:val="005C6354"/>
    <w:rsid w:val="005C65C1"/>
    <w:rsid w:val="005C681B"/>
    <w:rsid w:val="005C7282"/>
    <w:rsid w:val="005C7849"/>
    <w:rsid w:val="005C7B30"/>
    <w:rsid w:val="005D1B78"/>
    <w:rsid w:val="005D1B98"/>
    <w:rsid w:val="005D4260"/>
    <w:rsid w:val="005D43BE"/>
    <w:rsid w:val="005D5E17"/>
    <w:rsid w:val="005D68EA"/>
    <w:rsid w:val="005D752A"/>
    <w:rsid w:val="005E04F9"/>
    <w:rsid w:val="005E1B6D"/>
    <w:rsid w:val="005E2E46"/>
    <w:rsid w:val="005E57B6"/>
    <w:rsid w:val="005E65BF"/>
    <w:rsid w:val="005E6D5C"/>
    <w:rsid w:val="005E6F6F"/>
    <w:rsid w:val="005E7059"/>
    <w:rsid w:val="005F0366"/>
    <w:rsid w:val="005F0EDD"/>
    <w:rsid w:val="005F1FFC"/>
    <w:rsid w:val="005F27D6"/>
    <w:rsid w:val="005F2DDC"/>
    <w:rsid w:val="005F6242"/>
    <w:rsid w:val="005F6C4E"/>
    <w:rsid w:val="005F7389"/>
    <w:rsid w:val="005F7F35"/>
    <w:rsid w:val="00600CEA"/>
    <w:rsid w:val="00601164"/>
    <w:rsid w:val="00601DD6"/>
    <w:rsid w:val="00602202"/>
    <w:rsid w:val="00603135"/>
    <w:rsid w:val="006057C1"/>
    <w:rsid w:val="00605BF3"/>
    <w:rsid w:val="0060684B"/>
    <w:rsid w:val="006070DC"/>
    <w:rsid w:val="00607602"/>
    <w:rsid w:val="00610D90"/>
    <w:rsid w:val="0061152E"/>
    <w:rsid w:val="00611702"/>
    <w:rsid w:val="00611F3C"/>
    <w:rsid w:val="00612C17"/>
    <w:rsid w:val="006131BF"/>
    <w:rsid w:val="0061342B"/>
    <w:rsid w:val="0061502E"/>
    <w:rsid w:val="00615E61"/>
    <w:rsid w:val="0061678E"/>
    <w:rsid w:val="00616E59"/>
    <w:rsid w:val="006179AD"/>
    <w:rsid w:val="00621DDA"/>
    <w:rsid w:val="006221F0"/>
    <w:rsid w:val="0062224B"/>
    <w:rsid w:val="00622B7E"/>
    <w:rsid w:val="00622E17"/>
    <w:rsid w:val="00622F57"/>
    <w:rsid w:val="0062325B"/>
    <w:rsid w:val="00623DFD"/>
    <w:rsid w:val="006258A4"/>
    <w:rsid w:val="006270A0"/>
    <w:rsid w:val="006303B6"/>
    <w:rsid w:val="00630E56"/>
    <w:rsid w:val="00631293"/>
    <w:rsid w:val="006333A8"/>
    <w:rsid w:val="00633CCC"/>
    <w:rsid w:val="006342B2"/>
    <w:rsid w:val="00634371"/>
    <w:rsid w:val="00634990"/>
    <w:rsid w:val="006349DF"/>
    <w:rsid w:val="006351CF"/>
    <w:rsid w:val="006355A4"/>
    <w:rsid w:val="00635FC7"/>
    <w:rsid w:val="006361D2"/>
    <w:rsid w:val="00636247"/>
    <w:rsid w:val="006363D9"/>
    <w:rsid w:val="00636CA2"/>
    <w:rsid w:val="00636E37"/>
    <w:rsid w:val="006376FA"/>
    <w:rsid w:val="006407B5"/>
    <w:rsid w:val="006417B2"/>
    <w:rsid w:val="00643EE8"/>
    <w:rsid w:val="006440A4"/>
    <w:rsid w:val="0064441C"/>
    <w:rsid w:val="00644B00"/>
    <w:rsid w:val="00645E36"/>
    <w:rsid w:val="00646D4D"/>
    <w:rsid w:val="00647C83"/>
    <w:rsid w:val="00650502"/>
    <w:rsid w:val="006506FB"/>
    <w:rsid w:val="00652D35"/>
    <w:rsid w:val="00653155"/>
    <w:rsid w:val="00654049"/>
    <w:rsid w:val="0065492C"/>
    <w:rsid w:val="00654DFA"/>
    <w:rsid w:val="0065575C"/>
    <w:rsid w:val="0065635D"/>
    <w:rsid w:val="0066077F"/>
    <w:rsid w:val="006621A5"/>
    <w:rsid w:val="00662576"/>
    <w:rsid w:val="00663A22"/>
    <w:rsid w:val="00663DA5"/>
    <w:rsid w:val="00663ECA"/>
    <w:rsid w:val="006648BB"/>
    <w:rsid w:val="00664A98"/>
    <w:rsid w:val="00664E64"/>
    <w:rsid w:val="00664FD9"/>
    <w:rsid w:val="0066697F"/>
    <w:rsid w:val="00666F4B"/>
    <w:rsid w:val="00667A04"/>
    <w:rsid w:val="00670723"/>
    <w:rsid w:val="00673021"/>
    <w:rsid w:val="00673401"/>
    <w:rsid w:val="00673F21"/>
    <w:rsid w:val="00674781"/>
    <w:rsid w:val="006749B2"/>
    <w:rsid w:val="00675C25"/>
    <w:rsid w:val="0067612B"/>
    <w:rsid w:val="00676E11"/>
    <w:rsid w:val="00677535"/>
    <w:rsid w:val="00677651"/>
    <w:rsid w:val="00677864"/>
    <w:rsid w:val="00677992"/>
    <w:rsid w:val="00677BCE"/>
    <w:rsid w:val="006801E1"/>
    <w:rsid w:val="0068067D"/>
    <w:rsid w:val="006810B8"/>
    <w:rsid w:val="00681866"/>
    <w:rsid w:val="006820E2"/>
    <w:rsid w:val="006823B0"/>
    <w:rsid w:val="00683638"/>
    <w:rsid w:val="00685F83"/>
    <w:rsid w:val="00686376"/>
    <w:rsid w:val="00686696"/>
    <w:rsid w:val="00686B67"/>
    <w:rsid w:val="00687C45"/>
    <w:rsid w:val="006904E4"/>
    <w:rsid w:val="00690985"/>
    <w:rsid w:val="00690D1A"/>
    <w:rsid w:val="006921B5"/>
    <w:rsid w:val="006924A7"/>
    <w:rsid w:val="00693DDA"/>
    <w:rsid w:val="006965B7"/>
    <w:rsid w:val="006966E0"/>
    <w:rsid w:val="00696819"/>
    <w:rsid w:val="006969DD"/>
    <w:rsid w:val="00697600"/>
    <w:rsid w:val="006A0DCF"/>
    <w:rsid w:val="006A2C36"/>
    <w:rsid w:val="006A314A"/>
    <w:rsid w:val="006A316A"/>
    <w:rsid w:val="006A3823"/>
    <w:rsid w:val="006A3AAC"/>
    <w:rsid w:val="006A46D1"/>
    <w:rsid w:val="006A490A"/>
    <w:rsid w:val="006A5476"/>
    <w:rsid w:val="006A5807"/>
    <w:rsid w:val="006A59FE"/>
    <w:rsid w:val="006A66F0"/>
    <w:rsid w:val="006A6D7F"/>
    <w:rsid w:val="006A6F9A"/>
    <w:rsid w:val="006B0B35"/>
    <w:rsid w:val="006B0DE4"/>
    <w:rsid w:val="006B129A"/>
    <w:rsid w:val="006B1E48"/>
    <w:rsid w:val="006B2B5D"/>
    <w:rsid w:val="006B2C7E"/>
    <w:rsid w:val="006B2EAF"/>
    <w:rsid w:val="006B37D2"/>
    <w:rsid w:val="006B39EC"/>
    <w:rsid w:val="006B3E34"/>
    <w:rsid w:val="006B4808"/>
    <w:rsid w:val="006B4913"/>
    <w:rsid w:val="006B5562"/>
    <w:rsid w:val="006B5653"/>
    <w:rsid w:val="006B56C3"/>
    <w:rsid w:val="006B6B9A"/>
    <w:rsid w:val="006B6F0B"/>
    <w:rsid w:val="006C22DB"/>
    <w:rsid w:val="006C3D68"/>
    <w:rsid w:val="006C3D8A"/>
    <w:rsid w:val="006C41E2"/>
    <w:rsid w:val="006C4657"/>
    <w:rsid w:val="006C4802"/>
    <w:rsid w:val="006C4C71"/>
    <w:rsid w:val="006C5EA4"/>
    <w:rsid w:val="006C7932"/>
    <w:rsid w:val="006D0780"/>
    <w:rsid w:val="006D1A48"/>
    <w:rsid w:val="006D1C4B"/>
    <w:rsid w:val="006D2301"/>
    <w:rsid w:val="006D29BE"/>
    <w:rsid w:val="006D2EEF"/>
    <w:rsid w:val="006D3406"/>
    <w:rsid w:val="006D3496"/>
    <w:rsid w:val="006D3D82"/>
    <w:rsid w:val="006D43A9"/>
    <w:rsid w:val="006D5304"/>
    <w:rsid w:val="006D5F96"/>
    <w:rsid w:val="006D6401"/>
    <w:rsid w:val="006D7626"/>
    <w:rsid w:val="006E087E"/>
    <w:rsid w:val="006E17E0"/>
    <w:rsid w:val="006E1C57"/>
    <w:rsid w:val="006E1D56"/>
    <w:rsid w:val="006E2018"/>
    <w:rsid w:val="006E2303"/>
    <w:rsid w:val="006E2CEE"/>
    <w:rsid w:val="006E3984"/>
    <w:rsid w:val="006E5DDB"/>
    <w:rsid w:val="006E6065"/>
    <w:rsid w:val="006E648A"/>
    <w:rsid w:val="006E6500"/>
    <w:rsid w:val="006E7364"/>
    <w:rsid w:val="006E73E0"/>
    <w:rsid w:val="006E7CC3"/>
    <w:rsid w:val="006E7DA2"/>
    <w:rsid w:val="006E7F05"/>
    <w:rsid w:val="006F0B03"/>
    <w:rsid w:val="006F1B24"/>
    <w:rsid w:val="006F20BC"/>
    <w:rsid w:val="006F273C"/>
    <w:rsid w:val="006F3C8C"/>
    <w:rsid w:val="006F3C96"/>
    <w:rsid w:val="006F4BF8"/>
    <w:rsid w:val="006F4D53"/>
    <w:rsid w:val="006F68B9"/>
    <w:rsid w:val="006F6945"/>
    <w:rsid w:val="006F6A43"/>
    <w:rsid w:val="006F6BCC"/>
    <w:rsid w:val="00700400"/>
    <w:rsid w:val="007004D9"/>
    <w:rsid w:val="00701A30"/>
    <w:rsid w:val="00702CDB"/>
    <w:rsid w:val="007037DF"/>
    <w:rsid w:val="00705DD2"/>
    <w:rsid w:val="007069F0"/>
    <w:rsid w:val="00706FE8"/>
    <w:rsid w:val="00710E84"/>
    <w:rsid w:val="00711267"/>
    <w:rsid w:val="0071247A"/>
    <w:rsid w:val="00713BCC"/>
    <w:rsid w:val="00714EFA"/>
    <w:rsid w:val="0071712F"/>
    <w:rsid w:val="00720900"/>
    <w:rsid w:val="00721519"/>
    <w:rsid w:val="00722963"/>
    <w:rsid w:val="00722BD3"/>
    <w:rsid w:val="00722C6E"/>
    <w:rsid w:val="007244EA"/>
    <w:rsid w:val="00725F49"/>
    <w:rsid w:val="007264A4"/>
    <w:rsid w:val="00731C0A"/>
    <w:rsid w:val="00732A63"/>
    <w:rsid w:val="00733132"/>
    <w:rsid w:val="00733285"/>
    <w:rsid w:val="00733942"/>
    <w:rsid w:val="00733B91"/>
    <w:rsid w:val="00733D9C"/>
    <w:rsid w:val="007367E6"/>
    <w:rsid w:val="00737078"/>
    <w:rsid w:val="007375A6"/>
    <w:rsid w:val="00737760"/>
    <w:rsid w:val="00740814"/>
    <w:rsid w:val="00740AD5"/>
    <w:rsid w:val="0074123D"/>
    <w:rsid w:val="007425F6"/>
    <w:rsid w:val="00744326"/>
    <w:rsid w:val="00744BDE"/>
    <w:rsid w:val="00744E4F"/>
    <w:rsid w:val="00745281"/>
    <w:rsid w:val="007459B5"/>
    <w:rsid w:val="00745B06"/>
    <w:rsid w:val="00745BBF"/>
    <w:rsid w:val="00745F07"/>
    <w:rsid w:val="007460B4"/>
    <w:rsid w:val="00746678"/>
    <w:rsid w:val="007473FE"/>
    <w:rsid w:val="00747B4C"/>
    <w:rsid w:val="00751BCA"/>
    <w:rsid w:val="007520E9"/>
    <w:rsid w:val="00752CB1"/>
    <w:rsid w:val="00755674"/>
    <w:rsid w:val="00755AA6"/>
    <w:rsid w:val="00755B71"/>
    <w:rsid w:val="00756846"/>
    <w:rsid w:val="00756BBA"/>
    <w:rsid w:val="007572E9"/>
    <w:rsid w:val="007572F3"/>
    <w:rsid w:val="00760BCF"/>
    <w:rsid w:val="0076112B"/>
    <w:rsid w:val="00761EDB"/>
    <w:rsid w:val="0076224D"/>
    <w:rsid w:val="0076369E"/>
    <w:rsid w:val="00763C18"/>
    <w:rsid w:val="00763F8E"/>
    <w:rsid w:val="00764D6E"/>
    <w:rsid w:val="0076563B"/>
    <w:rsid w:val="007656B1"/>
    <w:rsid w:val="00765847"/>
    <w:rsid w:val="00765C62"/>
    <w:rsid w:val="00767CE7"/>
    <w:rsid w:val="00767DB2"/>
    <w:rsid w:val="00770F11"/>
    <w:rsid w:val="00773C51"/>
    <w:rsid w:val="00773FBE"/>
    <w:rsid w:val="007748E8"/>
    <w:rsid w:val="007768B7"/>
    <w:rsid w:val="00776C0B"/>
    <w:rsid w:val="00777241"/>
    <w:rsid w:val="00781CC9"/>
    <w:rsid w:val="00781F6C"/>
    <w:rsid w:val="007823BB"/>
    <w:rsid w:val="00782849"/>
    <w:rsid w:val="00782FFA"/>
    <w:rsid w:val="00783089"/>
    <w:rsid w:val="00783A0D"/>
    <w:rsid w:val="00784732"/>
    <w:rsid w:val="00785509"/>
    <w:rsid w:val="00787869"/>
    <w:rsid w:val="00787AA3"/>
    <w:rsid w:val="00787CA9"/>
    <w:rsid w:val="00787EB0"/>
    <w:rsid w:val="007902B1"/>
    <w:rsid w:val="00790CF9"/>
    <w:rsid w:val="00791CCB"/>
    <w:rsid w:val="00792214"/>
    <w:rsid w:val="00793BD4"/>
    <w:rsid w:val="00794574"/>
    <w:rsid w:val="007945FC"/>
    <w:rsid w:val="00794A4B"/>
    <w:rsid w:val="00794E77"/>
    <w:rsid w:val="0079759F"/>
    <w:rsid w:val="007A1757"/>
    <w:rsid w:val="007A2727"/>
    <w:rsid w:val="007A37FB"/>
    <w:rsid w:val="007A4823"/>
    <w:rsid w:val="007A593F"/>
    <w:rsid w:val="007A615B"/>
    <w:rsid w:val="007A743B"/>
    <w:rsid w:val="007A7B9B"/>
    <w:rsid w:val="007B03C0"/>
    <w:rsid w:val="007B0FC3"/>
    <w:rsid w:val="007B2994"/>
    <w:rsid w:val="007B435D"/>
    <w:rsid w:val="007B4B9B"/>
    <w:rsid w:val="007B568F"/>
    <w:rsid w:val="007B652C"/>
    <w:rsid w:val="007C0361"/>
    <w:rsid w:val="007C040F"/>
    <w:rsid w:val="007C04C8"/>
    <w:rsid w:val="007C1EBA"/>
    <w:rsid w:val="007C24A0"/>
    <w:rsid w:val="007C2FD9"/>
    <w:rsid w:val="007C3912"/>
    <w:rsid w:val="007C7492"/>
    <w:rsid w:val="007C757F"/>
    <w:rsid w:val="007C7EFC"/>
    <w:rsid w:val="007D0832"/>
    <w:rsid w:val="007D0E42"/>
    <w:rsid w:val="007D1750"/>
    <w:rsid w:val="007D1BF7"/>
    <w:rsid w:val="007D4283"/>
    <w:rsid w:val="007D4E85"/>
    <w:rsid w:val="007D6541"/>
    <w:rsid w:val="007D678B"/>
    <w:rsid w:val="007D7024"/>
    <w:rsid w:val="007E0A45"/>
    <w:rsid w:val="007E11D9"/>
    <w:rsid w:val="007E11F4"/>
    <w:rsid w:val="007E1EB6"/>
    <w:rsid w:val="007E36A3"/>
    <w:rsid w:val="007E3A78"/>
    <w:rsid w:val="007E4718"/>
    <w:rsid w:val="007E5223"/>
    <w:rsid w:val="007E5B8C"/>
    <w:rsid w:val="007E5D78"/>
    <w:rsid w:val="007E5DA8"/>
    <w:rsid w:val="007E64E0"/>
    <w:rsid w:val="007E68B6"/>
    <w:rsid w:val="007E6E63"/>
    <w:rsid w:val="007F0131"/>
    <w:rsid w:val="007F1EF6"/>
    <w:rsid w:val="007F20C8"/>
    <w:rsid w:val="007F2449"/>
    <w:rsid w:val="007F3166"/>
    <w:rsid w:val="007F3293"/>
    <w:rsid w:val="007F3460"/>
    <w:rsid w:val="007F34BB"/>
    <w:rsid w:val="007F5674"/>
    <w:rsid w:val="007F5A7A"/>
    <w:rsid w:val="007F676E"/>
    <w:rsid w:val="007F699E"/>
    <w:rsid w:val="007F73C3"/>
    <w:rsid w:val="0080091C"/>
    <w:rsid w:val="008015B4"/>
    <w:rsid w:val="00801751"/>
    <w:rsid w:val="00801B5E"/>
    <w:rsid w:val="00802B83"/>
    <w:rsid w:val="008039F2"/>
    <w:rsid w:val="00803D58"/>
    <w:rsid w:val="00803DA2"/>
    <w:rsid w:val="00804787"/>
    <w:rsid w:val="00804AA1"/>
    <w:rsid w:val="00804AD1"/>
    <w:rsid w:val="00804E51"/>
    <w:rsid w:val="0080525F"/>
    <w:rsid w:val="00806EC8"/>
    <w:rsid w:val="00807EF3"/>
    <w:rsid w:val="00810112"/>
    <w:rsid w:val="00812109"/>
    <w:rsid w:val="00812928"/>
    <w:rsid w:val="00812955"/>
    <w:rsid w:val="008138D7"/>
    <w:rsid w:val="008161FD"/>
    <w:rsid w:val="0081645B"/>
    <w:rsid w:val="00816BBC"/>
    <w:rsid w:val="008170AB"/>
    <w:rsid w:val="0081769A"/>
    <w:rsid w:val="00820F90"/>
    <w:rsid w:val="00821C44"/>
    <w:rsid w:val="00822391"/>
    <w:rsid w:val="0082279D"/>
    <w:rsid w:val="00823057"/>
    <w:rsid w:val="0082323C"/>
    <w:rsid w:val="00823695"/>
    <w:rsid w:val="00823C7F"/>
    <w:rsid w:val="008240E4"/>
    <w:rsid w:val="008242D0"/>
    <w:rsid w:val="0082436C"/>
    <w:rsid w:val="00826199"/>
    <w:rsid w:val="008266F3"/>
    <w:rsid w:val="00826F12"/>
    <w:rsid w:val="0082735C"/>
    <w:rsid w:val="008274E9"/>
    <w:rsid w:val="00830343"/>
    <w:rsid w:val="008305BB"/>
    <w:rsid w:val="00830A94"/>
    <w:rsid w:val="00830C69"/>
    <w:rsid w:val="0083199F"/>
    <w:rsid w:val="00832178"/>
    <w:rsid w:val="008325A1"/>
    <w:rsid w:val="008337E0"/>
    <w:rsid w:val="008346B7"/>
    <w:rsid w:val="00834CA8"/>
    <w:rsid w:val="008361F7"/>
    <w:rsid w:val="00836D96"/>
    <w:rsid w:val="00837FE2"/>
    <w:rsid w:val="00840C35"/>
    <w:rsid w:val="00841AA7"/>
    <w:rsid w:val="0084283B"/>
    <w:rsid w:val="00842B88"/>
    <w:rsid w:val="0084309C"/>
    <w:rsid w:val="00843FD4"/>
    <w:rsid w:val="00845018"/>
    <w:rsid w:val="0084505E"/>
    <w:rsid w:val="008464CA"/>
    <w:rsid w:val="0084660B"/>
    <w:rsid w:val="008474F1"/>
    <w:rsid w:val="00847776"/>
    <w:rsid w:val="0084778F"/>
    <w:rsid w:val="008506F3"/>
    <w:rsid w:val="008509FE"/>
    <w:rsid w:val="00850CC6"/>
    <w:rsid w:val="00853878"/>
    <w:rsid w:val="00853FC7"/>
    <w:rsid w:val="00855DAC"/>
    <w:rsid w:val="0085691C"/>
    <w:rsid w:val="00857328"/>
    <w:rsid w:val="008605B8"/>
    <w:rsid w:val="0086094C"/>
    <w:rsid w:val="008623B9"/>
    <w:rsid w:val="00862F51"/>
    <w:rsid w:val="008638D9"/>
    <w:rsid w:val="008641E1"/>
    <w:rsid w:val="00864936"/>
    <w:rsid w:val="00865B99"/>
    <w:rsid w:val="008663B9"/>
    <w:rsid w:val="008677B0"/>
    <w:rsid w:val="0087007B"/>
    <w:rsid w:val="0087147C"/>
    <w:rsid w:val="00872602"/>
    <w:rsid w:val="00872722"/>
    <w:rsid w:val="008730C3"/>
    <w:rsid w:val="00875087"/>
    <w:rsid w:val="008763B0"/>
    <w:rsid w:val="008776B2"/>
    <w:rsid w:val="00877B8D"/>
    <w:rsid w:val="008808BA"/>
    <w:rsid w:val="00881885"/>
    <w:rsid w:val="00882F36"/>
    <w:rsid w:val="00882FC3"/>
    <w:rsid w:val="008836FC"/>
    <w:rsid w:val="00884ADF"/>
    <w:rsid w:val="008850D8"/>
    <w:rsid w:val="00885146"/>
    <w:rsid w:val="008855D7"/>
    <w:rsid w:val="008865FF"/>
    <w:rsid w:val="00886C7F"/>
    <w:rsid w:val="00887187"/>
    <w:rsid w:val="00887415"/>
    <w:rsid w:val="0089064B"/>
    <w:rsid w:val="00890D0F"/>
    <w:rsid w:val="008915A9"/>
    <w:rsid w:val="008925D8"/>
    <w:rsid w:val="00892B1B"/>
    <w:rsid w:val="00892E8F"/>
    <w:rsid w:val="008931A1"/>
    <w:rsid w:val="00893DEF"/>
    <w:rsid w:val="008954B0"/>
    <w:rsid w:val="00895D74"/>
    <w:rsid w:val="008A068C"/>
    <w:rsid w:val="008A0BB1"/>
    <w:rsid w:val="008A1E91"/>
    <w:rsid w:val="008A294D"/>
    <w:rsid w:val="008A3020"/>
    <w:rsid w:val="008A3F49"/>
    <w:rsid w:val="008A4E13"/>
    <w:rsid w:val="008A549E"/>
    <w:rsid w:val="008A6450"/>
    <w:rsid w:val="008A66A7"/>
    <w:rsid w:val="008B0883"/>
    <w:rsid w:val="008B1E11"/>
    <w:rsid w:val="008B2144"/>
    <w:rsid w:val="008B26D9"/>
    <w:rsid w:val="008B2C94"/>
    <w:rsid w:val="008B2FC6"/>
    <w:rsid w:val="008B6C76"/>
    <w:rsid w:val="008B6F1E"/>
    <w:rsid w:val="008B794D"/>
    <w:rsid w:val="008B7D56"/>
    <w:rsid w:val="008C084F"/>
    <w:rsid w:val="008C0874"/>
    <w:rsid w:val="008C0AB5"/>
    <w:rsid w:val="008C0EB0"/>
    <w:rsid w:val="008C152F"/>
    <w:rsid w:val="008C16E7"/>
    <w:rsid w:val="008C32C1"/>
    <w:rsid w:val="008C37D8"/>
    <w:rsid w:val="008C49CF"/>
    <w:rsid w:val="008C5CB1"/>
    <w:rsid w:val="008C5E17"/>
    <w:rsid w:val="008C74CE"/>
    <w:rsid w:val="008D0062"/>
    <w:rsid w:val="008D01AA"/>
    <w:rsid w:val="008D2CED"/>
    <w:rsid w:val="008D323B"/>
    <w:rsid w:val="008D35A8"/>
    <w:rsid w:val="008D3CE6"/>
    <w:rsid w:val="008D486F"/>
    <w:rsid w:val="008D5736"/>
    <w:rsid w:val="008D736A"/>
    <w:rsid w:val="008E1555"/>
    <w:rsid w:val="008E1E42"/>
    <w:rsid w:val="008E1F22"/>
    <w:rsid w:val="008E2179"/>
    <w:rsid w:val="008E2543"/>
    <w:rsid w:val="008E32AC"/>
    <w:rsid w:val="008E3D97"/>
    <w:rsid w:val="008E4363"/>
    <w:rsid w:val="008E64DB"/>
    <w:rsid w:val="008E70EC"/>
    <w:rsid w:val="008E7E8C"/>
    <w:rsid w:val="008F0275"/>
    <w:rsid w:val="008F0B1C"/>
    <w:rsid w:val="008F1611"/>
    <w:rsid w:val="008F1CB4"/>
    <w:rsid w:val="008F2658"/>
    <w:rsid w:val="008F2844"/>
    <w:rsid w:val="008F2ACD"/>
    <w:rsid w:val="008F4917"/>
    <w:rsid w:val="008F6097"/>
    <w:rsid w:val="008F68CF"/>
    <w:rsid w:val="008F71C1"/>
    <w:rsid w:val="008F7853"/>
    <w:rsid w:val="009011A0"/>
    <w:rsid w:val="0090146E"/>
    <w:rsid w:val="009024E7"/>
    <w:rsid w:val="009032FC"/>
    <w:rsid w:val="009041BF"/>
    <w:rsid w:val="00904A68"/>
    <w:rsid w:val="00905DEC"/>
    <w:rsid w:val="00906058"/>
    <w:rsid w:val="009060B5"/>
    <w:rsid w:val="00911ACE"/>
    <w:rsid w:val="00912ED1"/>
    <w:rsid w:val="0091348F"/>
    <w:rsid w:val="00913B90"/>
    <w:rsid w:val="00913BB3"/>
    <w:rsid w:val="0091461B"/>
    <w:rsid w:val="009157DF"/>
    <w:rsid w:val="00915D7F"/>
    <w:rsid w:val="00916C78"/>
    <w:rsid w:val="00917326"/>
    <w:rsid w:val="00917D48"/>
    <w:rsid w:val="00921749"/>
    <w:rsid w:val="00922770"/>
    <w:rsid w:val="009227A3"/>
    <w:rsid w:val="009227BE"/>
    <w:rsid w:val="00923A90"/>
    <w:rsid w:val="00923D67"/>
    <w:rsid w:val="00923DDF"/>
    <w:rsid w:val="00923FBE"/>
    <w:rsid w:val="0092502A"/>
    <w:rsid w:val="009251C8"/>
    <w:rsid w:val="009254C4"/>
    <w:rsid w:val="00925ED0"/>
    <w:rsid w:val="00927370"/>
    <w:rsid w:val="00927502"/>
    <w:rsid w:val="00927714"/>
    <w:rsid w:val="009277DC"/>
    <w:rsid w:val="00930DA7"/>
    <w:rsid w:val="009314D7"/>
    <w:rsid w:val="00932DF2"/>
    <w:rsid w:val="00934137"/>
    <w:rsid w:val="009346C9"/>
    <w:rsid w:val="00934729"/>
    <w:rsid w:val="009349A1"/>
    <w:rsid w:val="00935E36"/>
    <w:rsid w:val="00936A5F"/>
    <w:rsid w:val="00940049"/>
    <w:rsid w:val="00940408"/>
    <w:rsid w:val="009407F3"/>
    <w:rsid w:val="00940AC1"/>
    <w:rsid w:val="00942F48"/>
    <w:rsid w:val="00942F7A"/>
    <w:rsid w:val="00945248"/>
    <w:rsid w:val="0094595C"/>
    <w:rsid w:val="00945BBC"/>
    <w:rsid w:val="00947171"/>
    <w:rsid w:val="00947508"/>
    <w:rsid w:val="00947719"/>
    <w:rsid w:val="00950375"/>
    <w:rsid w:val="009509EE"/>
    <w:rsid w:val="00950AC7"/>
    <w:rsid w:val="00950C23"/>
    <w:rsid w:val="00951892"/>
    <w:rsid w:val="00951AD9"/>
    <w:rsid w:val="009531F5"/>
    <w:rsid w:val="009534B2"/>
    <w:rsid w:val="00954813"/>
    <w:rsid w:val="00954E7A"/>
    <w:rsid w:val="00955211"/>
    <w:rsid w:val="0095527B"/>
    <w:rsid w:val="00955A0F"/>
    <w:rsid w:val="00955FAE"/>
    <w:rsid w:val="0095618F"/>
    <w:rsid w:val="009565AB"/>
    <w:rsid w:val="00956848"/>
    <w:rsid w:val="0095719F"/>
    <w:rsid w:val="0095770F"/>
    <w:rsid w:val="00961458"/>
    <w:rsid w:val="00961CAF"/>
    <w:rsid w:val="00962820"/>
    <w:rsid w:val="00963019"/>
    <w:rsid w:val="009636AF"/>
    <w:rsid w:val="00963F56"/>
    <w:rsid w:val="009641B1"/>
    <w:rsid w:val="009656A7"/>
    <w:rsid w:val="009659D3"/>
    <w:rsid w:val="0096660F"/>
    <w:rsid w:val="00966869"/>
    <w:rsid w:val="009711B9"/>
    <w:rsid w:val="009731C4"/>
    <w:rsid w:val="009733AB"/>
    <w:rsid w:val="00973943"/>
    <w:rsid w:val="0097415D"/>
    <w:rsid w:val="00974AC0"/>
    <w:rsid w:val="00974F98"/>
    <w:rsid w:val="0097510B"/>
    <w:rsid w:val="00975A35"/>
    <w:rsid w:val="009761BC"/>
    <w:rsid w:val="009765F0"/>
    <w:rsid w:val="00976A47"/>
    <w:rsid w:val="00976C93"/>
    <w:rsid w:val="00976EC6"/>
    <w:rsid w:val="00977126"/>
    <w:rsid w:val="00977F94"/>
    <w:rsid w:val="00980056"/>
    <w:rsid w:val="00980433"/>
    <w:rsid w:val="00980B6F"/>
    <w:rsid w:val="00980DE4"/>
    <w:rsid w:val="00981B01"/>
    <w:rsid w:val="00982DED"/>
    <w:rsid w:val="00982FF4"/>
    <w:rsid w:val="00983774"/>
    <w:rsid w:val="00985B06"/>
    <w:rsid w:val="00985E45"/>
    <w:rsid w:val="00986369"/>
    <w:rsid w:val="0098724F"/>
    <w:rsid w:val="009876F6"/>
    <w:rsid w:val="0098778A"/>
    <w:rsid w:val="009877DB"/>
    <w:rsid w:val="00987F16"/>
    <w:rsid w:val="0099067D"/>
    <w:rsid w:val="00990ED7"/>
    <w:rsid w:val="00992865"/>
    <w:rsid w:val="00993DFD"/>
    <w:rsid w:val="00994B4A"/>
    <w:rsid w:val="0099501C"/>
    <w:rsid w:val="009953D9"/>
    <w:rsid w:val="00996277"/>
    <w:rsid w:val="009A0C36"/>
    <w:rsid w:val="009A19CD"/>
    <w:rsid w:val="009A219C"/>
    <w:rsid w:val="009A2772"/>
    <w:rsid w:val="009A35A1"/>
    <w:rsid w:val="009A3851"/>
    <w:rsid w:val="009A4539"/>
    <w:rsid w:val="009A579B"/>
    <w:rsid w:val="009A6384"/>
    <w:rsid w:val="009A68F2"/>
    <w:rsid w:val="009A7A00"/>
    <w:rsid w:val="009B2097"/>
    <w:rsid w:val="009B32C3"/>
    <w:rsid w:val="009B3413"/>
    <w:rsid w:val="009B3E9A"/>
    <w:rsid w:val="009B45FF"/>
    <w:rsid w:val="009B4A6C"/>
    <w:rsid w:val="009B4DB6"/>
    <w:rsid w:val="009B4DFD"/>
    <w:rsid w:val="009B51A3"/>
    <w:rsid w:val="009B5264"/>
    <w:rsid w:val="009B53F8"/>
    <w:rsid w:val="009B5A0C"/>
    <w:rsid w:val="009B6334"/>
    <w:rsid w:val="009B688E"/>
    <w:rsid w:val="009B70CD"/>
    <w:rsid w:val="009B7F59"/>
    <w:rsid w:val="009C04C5"/>
    <w:rsid w:val="009C0A20"/>
    <w:rsid w:val="009C0FC0"/>
    <w:rsid w:val="009C2906"/>
    <w:rsid w:val="009C2F1A"/>
    <w:rsid w:val="009C2F36"/>
    <w:rsid w:val="009C406C"/>
    <w:rsid w:val="009C583D"/>
    <w:rsid w:val="009C63C0"/>
    <w:rsid w:val="009C6D18"/>
    <w:rsid w:val="009C721F"/>
    <w:rsid w:val="009C7711"/>
    <w:rsid w:val="009D1415"/>
    <w:rsid w:val="009D1437"/>
    <w:rsid w:val="009D1694"/>
    <w:rsid w:val="009D1D07"/>
    <w:rsid w:val="009D1ED4"/>
    <w:rsid w:val="009D37B0"/>
    <w:rsid w:val="009D3C3B"/>
    <w:rsid w:val="009D4E54"/>
    <w:rsid w:val="009D5C91"/>
    <w:rsid w:val="009D6E3D"/>
    <w:rsid w:val="009D72A4"/>
    <w:rsid w:val="009D7A90"/>
    <w:rsid w:val="009E0252"/>
    <w:rsid w:val="009E096E"/>
    <w:rsid w:val="009E0F8E"/>
    <w:rsid w:val="009E1CBB"/>
    <w:rsid w:val="009E2B62"/>
    <w:rsid w:val="009E3250"/>
    <w:rsid w:val="009E3469"/>
    <w:rsid w:val="009E3FE9"/>
    <w:rsid w:val="009E4216"/>
    <w:rsid w:val="009E5208"/>
    <w:rsid w:val="009E5F5D"/>
    <w:rsid w:val="009E6040"/>
    <w:rsid w:val="009E6D3D"/>
    <w:rsid w:val="009E7129"/>
    <w:rsid w:val="009E791C"/>
    <w:rsid w:val="009E7E58"/>
    <w:rsid w:val="009F018D"/>
    <w:rsid w:val="009F070F"/>
    <w:rsid w:val="009F1AFB"/>
    <w:rsid w:val="009F2359"/>
    <w:rsid w:val="009F293C"/>
    <w:rsid w:val="009F2EBA"/>
    <w:rsid w:val="009F3DD7"/>
    <w:rsid w:val="009F3ED5"/>
    <w:rsid w:val="009F4087"/>
    <w:rsid w:val="009F4F0C"/>
    <w:rsid w:val="009F6158"/>
    <w:rsid w:val="009F6AB5"/>
    <w:rsid w:val="009F7D8C"/>
    <w:rsid w:val="00A0052B"/>
    <w:rsid w:val="00A0116D"/>
    <w:rsid w:val="00A029A3"/>
    <w:rsid w:val="00A03172"/>
    <w:rsid w:val="00A0323B"/>
    <w:rsid w:val="00A03740"/>
    <w:rsid w:val="00A06C1F"/>
    <w:rsid w:val="00A10EDE"/>
    <w:rsid w:val="00A11661"/>
    <w:rsid w:val="00A1171E"/>
    <w:rsid w:val="00A12E53"/>
    <w:rsid w:val="00A14851"/>
    <w:rsid w:val="00A149FB"/>
    <w:rsid w:val="00A16930"/>
    <w:rsid w:val="00A16B1C"/>
    <w:rsid w:val="00A17112"/>
    <w:rsid w:val="00A210A0"/>
    <w:rsid w:val="00A211EF"/>
    <w:rsid w:val="00A220AB"/>
    <w:rsid w:val="00A223DD"/>
    <w:rsid w:val="00A22438"/>
    <w:rsid w:val="00A22928"/>
    <w:rsid w:val="00A22E0C"/>
    <w:rsid w:val="00A23EF0"/>
    <w:rsid w:val="00A247FF"/>
    <w:rsid w:val="00A24ACE"/>
    <w:rsid w:val="00A26F35"/>
    <w:rsid w:val="00A270C4"/>
    <w:rsid w:val="00A27211"/>
    <w:rsid w:val="00A27CE1"/>
    <w:rsid w:val="00A312F5"/>
    <w:rsid w:val="00A32600"/>
    <w:rsid w:val="00A32631"/>
    <w:rsid w:val="00A330A3"/>
    <w:rsid w:val="00A3348F"/>
    <w:rsid w:val="00A33539"/>
    <w:rsid w:val="00A33A27"/>
    <w:rsid w:val="00A348CC"/>
    <w:rsid w:val="00A3506D"/>
    <w:rsid w:val="00A35BA2"/>
    <w:rsid w:val="00A37377"/>
    <w:rsid w:val="00A37B3E"/>
    <w:rsid w:val="00A42158"/>
    <w:rsid w:val="00A4239B"/>
    <w:rsid w:val="00A44385"/>
    <w:rsid w:val="00A45685"/>
    <w:rsid w:val="00A45F05"/>
    <w:rsid w:val="00A47418"/>
    <w:rsid w:val="00A4750D"/>
    <w:rsid w:val="00A47C66"/>
    <w:rsid w:val="00A47D0F"/>
    <w:rsid w:val="00A52B40"/>
    <w:rsid w:val="00A54661"/>
    <w:rsid w:val="00A54C4A"/>
    <w:rsid w:val="00A561A6"/>
    <w:rsid w:val="00A564B1"/>
    <w:rsid w:val="00A567D2"/>
    <w:rsid w:val="00A56A17"/>
    <w:rsid w:val="00A56C69"/>
    <w:rsid w:val="00A5732D"/>
    <w:rsid w:val="00A57560"/>
    <w:rsid w:val="00A577CD"/>
    <w:rsid w:val="00A579B8"/>
    <w:rsid w:val="00A605FA"/>
    <w:rsid w:val="00A621E8"/>
    <w:rsid w:val="00A649E9"/>
    <w:rsid w:val="00A6606C"/>
    <w:rsid w:val="00A669EA"/>
    <w:rsid w:val="00A67EA3"/>
    <w:rsid w:val="00A67FCB"/>
    <w:rsid w:val="00A71BAC"/>
    <w:rsid w:val="00A71E02"/>
    <w:rsid w:val="00A722C2"/>
    <w:rsid w:val="00A73168"/>
    <w:rsid w:val="00A739CC"/>
    <w:rsid w:val="00A73AC7"/>
    <w:rsid w:val="00A748D2"/>
    <w:rsid w:val="00A75174"/>
    <w:rsid w:val="00A75FE7"/>
    <w:rsid w:val="00A766F7"/>
    <w:rsid w:val="00A76AA5"/>
    <w:rsid w:val="00A7718D"/>
    <w:rsid w:val="00A7735F"/>
    <w:rsid w:val="00A81D57"/>
    <w:rsid w:val="00A82AA7"/>
    <w:rsid w:val="00A83940"/>
    <w:rsid w:val="00A85A3C"/>
    <w:rsid w:val="00A86D23"/>
    <w:rsid w:val="00A87839"/>
    <w:rsid w:val="00A87DC7"/>
    <w:rsid w:val="00A87E03"/>
    <w:rsid w:val="00A90712"/>
    <w:rsid w:val="00A909DB"/>
    <w:rsid w:val="00A939D4"/>
    <w:rsid w:val="00A943BA"/>
    <w:rsid w:val="00A9468C"/>
    <w:rsid w:val="00A94817"/>
    <w:rsid w:val="00A955E7"/>
    <w:rsid w:val="00A962A1"/>
    <w:rsid w:val="00A96B1A"/>
    <w:rsid w:val="00AA019B"/>
    <w:rsid w:val="00AA0E52"/>
    <w:rsid w:val="00AA11E7"/>
    <w:rsid w:val="00AA13F5"/>
    <w:rsid w:val="00AA1F78"/>
    <w:rsid w:val="00AA2DF0"/>
    <w:rsid w:val="00AA2FCF"/>
    <w:rsid w:val="00AA3728"/>
    <w:rsid w:val="00AA44BF"/>
    <w:rsid w:val="00AA4AAE"/>
    <w:rsid w:val="00AA5E11"/>
    <w:rsid w:val="00AA6266"/>
    <w:rsid w:val="00AA6932"/>
    <w:rsid w:val="00AA69F7"/>
    <w:rsid w:val="00AA71CB"/>
    <w:rsid w:val="00AB0958"/>
    <w:rsid w:val="00AB0E78"/>
    <w:rsid w:val="00AB1718"/>
    <w:rsid w:val="00AB2111"/>
    <w:rsid w:val="00AB2148"/>
    <w:rsid w:val="00AB28E7"/>
    <w:rsid w:val="00AB2E15"/>
    <w:rsid w:val="00AB4141"/>
    <w:rsid w:val="00AB5B2A"/>
    <w:rsid w:val="00AB6CD0"/>
    <w:rsid w:val="00AB7012"/>
    <w:rsid w:val="00AB7798"/>
    <w:rsid w:val="00AB7DFC"/>
    <w:rsid w:val="00AC1852"/>
    <w:rsid w:val="00AC26D5"/>
    <w:rsid w:val="00AC34A5"/>
    <w:rsid w:val="00AC393A"/>
    <w:rsid w:val="00AC407D"/>
    <w:rsid w:val="00AC4726"/>
    <w:rsid w:val="00AC5A06"/>
    <w:rsid w:val="00AD086D"/>
    <w:rsid w:val="00AD0DCD"/>
    <w:rsid w:val="00AD109C"/>
    <w:rsid w:val="00AD2D9E"/>
    <w:rsid w:val="00AD3A95"/>
    <w:rsid w:val="00AD40B2"/>
    <w:rsid w:val="00AD4EB5"/>
    <w:rsid w:val="00AD68D2"/>
    <w:rsid w:val="00AD6C9A"/>
    <w:rsid w:val="00AD6F72"/>
    <w:rsid w:val="00AD7DF1"/>
    <w:rsid w:val="00AE09B7"/>
    <w:rsid w:val="00AE160F"/>
    <w:rsid w:val="00AE1989"/>
    <w:rsid w:val="00AE2FF6"/>
    <w:rsid w:val="00AE3510"/>
    <w:rsid w:val="00AE5832"/>
    <w:rsid w:val="00AE5A1E"/>
    <w:rsid w:val="00AE5C47"/>
    <w:rsid w:val="00AE6457"/>
    <w:rsid w:val="00AE64AC"/>
    <w:rsid w:val="00AE7FF3"/>
    <w:rsid w:val="00AF0314"/>
    <w:rsid w:val="00AF0415"/>
    <w:rsid w:val="00AF0931"/>
    <w:rsid w:val="00AF1B52"/>
    <w:rsid w:val="00AF200E"/>
    <w:rsid w:val="00AF3FB0"/>
    <w:rsid w:val="00AF3FC9"/>
    <w:rsid w:val="00AF40D8"/>
    <w:rsid w:val="00AF4FC2"/>
    <w:rsid w:val="00AF58DE"/>
    <w:rsid w:val="00AF5C0E"/>
    <w:rsid w:val="00AF60BB"/>
    <w:rsid w:val="00B037F8"/>
    <w:rsid w:val="00B03C59"/>
    <w:rsid w:val="00B053C5"/>
    <w:rsid w:val="00B055BC"/>
    <w:rsid w:val="00B05CE3"/>
    <w:rsid w:val="00B05E6D"/>
    <w:rsid w:val="00B06F27"/>
    <w:rsid w:val="00B07F86"/>
    <w:rsid w:val="00B10E8B"/>
    <w:rsid w:val="00B11592"/>
    <w:rsid w:val="00B14E04"/>
    <w:rsid w:val="00B17AB2"/>
    <w:rsid w:val="00B206C6"/>
    <w:rsid w:val="00B209D4"/>
    <w:rsid w:val="00B22F84"/>
    <w:rsid w:val="00B23B9A"/>
    <w:rsid w:val="00B24C3E"/>
    <w:rsid w:val="00B24D5E"/>
    <w:rsid w:val="00B2574F"/>
    <w:rsid w:val="00B25790"/>
    <w:rsid w:val="00B25E8F"/>
    <w:rsid w:val="00B26CE3"/>
    <w:rsid w:val="00B26FA5"/>
    <w:rsid w:val="00B272FC"/>
    <w:rsid w:val="00B320FD"/>
    <w:rsid w:val="00B32FBC"/>
    <w:rsid w:val="00B332AD"/>
    <w:rsid w:val="00B333B5"/>
    <w:rsid w:val="00B35810"/>
    <w:rsid w:val="00B35B95"/>
    <w:rsid w:val="00B36017"/>
    <w:rsid w:val="00B36A4C"/>
    <w:rsid w:val="00B36D11"/>
    <w:rsid w:val="00B37538"/>
    <w:rsid w:val="00B4042E"/>
    <w:rsid w:val="00B4182B"/>
    <w:rsid w:val="00B4500E"/>
    <w:rsid w:val="00B45939"/>
    <w:rsid w:val="00B45EEE"/>
    <w:rsid w:val="00B50B69"/>
    <w:rsid w:val="00B50BF2"/>
    <w:rsid w:val="00B50FC3"/>
    <w:rsid w:val="00B512AC"/>
    <w:rsid w:val="00B518B4"/>
    <w:rsid w:val="00B52437"/>
    <w:rsid w:val="00B52483"/>
    <w:rsid w:val="00B52D4E"/>
    <w:rsid w:val="00B5334D"/>
    <w:rsid w:val="00B53A96"/>
    <w:rsid w:val="00B54923"/>
    <w:rsid w:val="00B54D46"/>
    <w:rsid w:val="00B54D7F"/>
    <w:rsid w:val="00B555C4"/>
    <w:rsid w:val="00B57D08"/>
    <w:rsid w:val="00B613E0"/>
    <w:rsid w:val="00B62AB2"/>
    <w:rsid w:val="00B62B35"/>
    <w:rsid w:val="00B62CC2"/>
    <w:rsid w:val="00B6352A"/>
    <w:rsid w:val="00B65575"/>
    <w:rsid w:val="00B65774"/>
    <w:rsid w:val="00B66CF5"/>
    <w:rsid w:val="00B714E3"/>
    <w:rsid w:val="00B71F5D"/>
    <w:rsid w:val="00B72D15"/>
    <w:rsid w:val="00B73580"/>
    <w:rsid w:val="00B738CC"/>
    <w:rsid w:val="00B76124"/>
    <w:rsid w:val="00B76323"/>
    <w:rsid w:val="00B76339"/>
    <w:rsid w:val="00B76812"/>
    <w:rsid w:val="00B76C92"/>
    <w:rsid w:val="00B76DFA"/>
    <w:rsid w:val="00B77442"/>
    <w:rsid w:val="00B80C71"/>
    <w:rsid w:val="00B810D1"/>
    <w:rsid w:val="00B812D5"/>
    <w:rsid w:val="00B82305"/>
    <w:rsid w:val="00B8275C"/>
    <w:rsid w:val="00B832DB"/>
    <w:rsid w:val="00B8443E"/>
    <w:rsid w:val="00B8522C"/>
    <w:rsid w:val="00B85929"/>
    <w:rsid w:val="00B85CAD"/>
    <w:rsid w:val="00B8626E"/>
    <w:rsid w:val="00B86968"/>
    <w:rsid w:val="00B86DC2"/>
    <w:rsid w:val="00B876CB"/>
    <w:rsid w:val="00B87BD0"/>
    <w:rsid w:val="00B908EE"/>
    <w:rsid w:val="00B91FAA"/>
    <w:rsid w:val="00B91FD7"/>
    <w:rsid w:val="00B925B2"/>
    <w:rsid w:val="00B93DBA"/>
    <w:rsid w:val="00B96AE8"/>
    <w:rsid w:val="00B9703F"/>
    <w:rsid w:val="00B97E0A"/>
    <w:rsid w:val="00BA01E6"/>
    <w:rsid w:val="00BA0565"/>
    <w:rsid w:val="00BA19C0"/>
    <w:rsid w:val="00BA2F0C"/>
    <w:rsid w:val="00BA4F6A"/>
    <w:rsid w:val="00BA5375"/>
    <w:rsid w:val="00BA5494"/>
    <w:rsid w:val="00BA5606"/>
    <w:rsid w:val="00BA601C"/>
    <w:rsid w:val="00BA6AAD"/>
    <w:rsid w:val="00BA6F21"/>
    <w:rsid w:val="00BB05AC"/>
    <w:rsid w:val="00BB0ECC"/>
    <w:rsid w:val="00BB1258"/>
    <w:rsid w:val="00BB1681"/>
    <w:rsid w:val="00BB1741"/>
    <w:rsid w:val="00BB1DC8"/>
    <w:rsid w:val="00BB1E4E"/>
    <w:rsid w:val="00BB251E"/>
    <w:rsid w:val="00BB35C9"/>
    <w:rsid w:val="00BB451E"/>
    <w:rsid w:val="00BB4DAE"/>
    <w:rsid w:val="00BB5497"/>
    <w:rsid w:val="00BB69A1"/>
    <w:rsid w:val="00BB7B28"/>
    <w:rsid w:val="00BB7F9C"/>
    <w:rsid w:val="00BC01B0"/>
    <w:rsid w:val="00BC0782"/>
    <w:rsid w:val="00BC097E"/>
    <w:rsid w:val="00BC1207"/>
    <w:rsid w:val="00BC192D"/>
    <w:rsid w:val="00BC5C1D"/>
    <w:rsid w:val="00BC5C55"/>
    <w:rsid w:val="00BC5F97"/>
    <w:rsid w:val="00BC7587"/>
    <w:rsid w:val="00BC78AF"/>
    <w:rsid w:val="00BC7CDF"/>
    <w:rsid w:val="00BC7DEC"/>
    <w:rsid w:val="00BC7EA7"/>
    <w:rsid w:val="00BD00D5"/>
    <w:rsid w:val="00BD0417"/>
    <w:rsid w:val="00BD0B7F"/>
    <w:rsid w:val="00BD13AF"/>
    <w:rsid w:val="00BD2765"/>
    <w:rsid w:val="00BD4BB0"/>
    <w:rsid w:val="00BD4F7D"/>
    <w:rsid w:val="00BD57E8"/>
    <w:rsid w:val="00BD77DE"/>
    <w:rsid w:val="00BD7AA7"/>
    <w:rsid w:val="00BE0A3C"/>
    <w:rsid w:val="00BE1206"/>
    <w:rsid w:val="00BE2F79"/>
    <w:rsid w:val="00BE3072"/>
    <w:rsid w:val="00BE3076"/>
    <w:rsid w:val="00BE3956"/>
    <w:rsid w:val="00BE3CF7"/>
    <w:rsid w:val="00BE4114"/>
    <w:rsid w:val="00BE43F0"/>
    <w:rsid w:val="00BE4F15"/>
    <w:rsid w:val="00BE5ECF"/>
    <w:rsid w:val="00BE63E6"/>
    <w:rsid w:val="00BE774F"/>
    <w:rsid w:val="00BF00B7"/>
    <w:rsid w:val="00BF0E22"/>
    <w:rsid w:val="00BF176D"/>
    <w:rsid w:val="00BF2029"/>
    <w:rsid w:val="00BF287A"/>
    <w:rsid w:val="00BF38CB"/>
    <w:rsid w:val="00BF3D36"/>
    <w:rsid w:val="00BF4345"/>
    <w:rsid w:val="00BF4A08"/>
    <w:rsid w:val="00BF4FED"/>
    <w:rsid w:val="00BF4FF2"/>
    <w:rsid w:val="00BF5299"/>
    <w:rsid w:val="00BF6D17"/>
    <w:rsid w:val="00C00B8D"/>
    <w:rsid w:val="00C015DB"/>
    <w:rsid w:val="00C01DA4"/>
    <w:rsid w:val="00C02E0C"/>
    <w:rsid w:val="00C0330F"/>
    <w:rsid w:val="00C0335B"/>
    <w:rsid w:val="00C041CA"/>
    <w:rsid w:val="00C04BA5"/>
    <w:rsid w:val="00C0554A"/>
    <w:rsid w:val="00C05921"/>
    <w:rsid w:val="00C0647B"/>
    <w:rsid w:val="00C06940"/>
    <w:rsid w:val="00C069AA"/>
    <w:rsid w:val="00C06E31"/>
    <w:rsid w:val="00C06FBA"/>
    <w:rsid w:val="00C100A4"/>
    <w:rsid w:val="00C108CC"/>
    <w:rsid w:val="00C10D21"/>
    <w:rsid w:val="00C1112D"/>
    <w:rsid w:val="00C11A99"/>
    <w:rsid w:val="00C1395A"/>
    <w:rsid w:val="00C142FD"/>
    <w:rsid w:val="00C15800"/>
    <w:rsid w:val="00C173FC"/>
    <w:rsid w:val="00C179BC"/>
    <w:rsid w:val="00C204E2"/>
    <w:rsid w:val="00C217B5"/>
    <w:rsid w:val="00C21F4C"/>
    <w:rsid w:val="00C23F66"/>
    <w:rsid w:val="00C243E6"/>
    <w:rsid w:val="00C24CA7"/>
    <w:rsid w:val="00C25E58"/>
    <w:rsid w:val="00C27317"/>
    <w:rsid w:val="00C27EC4"/>
    <w:rsid w:val="00C300EF"/>
    <w:rsid w:val="00C31284"/>
    <w:rsid w:val="00C31836"/>
    <w:rsid w:val="00C318DE"/>
    <w:rsid w:val="00C31BCD"/>
    <w:rsid w:val="00C3304B"/>
    <w:rsid w:val="00C3328D"/>
    <w:rsid w:val="00C33628"/>
    <w:rsid w:val="00C33720"/>
    <w:rsid w:val="00C33B9A"/>
    <w:rsid w:val="00C33FF2"/>
    <w:rsid w:val="00C341C9"/>
    <w:rsid w:val="00C343E6"/>
    <w:rsid w:val="00C34677"/>
    <w:rsid w:val="00C369EA"/>
    <w:rsid w:val="00C36A5E"/>
    <w:rsid w:val="00C37D5F"/>
    <w:rsid w:val="00C402CC"/>
    <w:rsid w:val="00C4548A"/>
    <w:rsid w:val="00C455A0"/>
    <w:rsid w:val="00C460DF"/>
    <w:rsid w:val="00C500D1"/>
    <w:rsid w:val="00C50B0A"/>
    <w:rsid w:val="00C517F5"/>
    <w:rsid w:val="00C5253D"/>
    <w:rsid w:val="00C52D37"/>
    <w:rsid w:val="00C53F3A"/>
    <w:rsid w:val="00C542DC"/>
    <w:rsid w:val="00C56371"/>
    <w:rsid w:val="00C56406"/>
    <w:rsid w:val="00C573B1"/>
    <w:rsid w:val="00C57E6A"/>
    <w:rsid w:val="00C636B3"/>
    <w:rsid w:val="00C646A2"/>
    <w:rsid w:val="00C651E7"/>
    <w:rsid w:val="00C654B9"/>
    <w:rsid w:val="00C65B4D"/>
    <w:rsid w:val="00C66EAB"/>
    <w:rsid w:val="00C6737A"/>
    <w:rsid w:val="00C67A02"/>
    <w:rsid w:val="00C67A17"/>
    <w:rsid w:val="00C702C7"/>
    <w:rsid w:val="00C708E4"/>
    <w:rsid w:val="00C70C83"/>
    <w:rsid w:val="00C71226"/>
    <w:rsid w:val="00C713E4"/>
    <w:rsid w:val="00C727AB"/>
    <w:rsid w:val="00C72B74"/>
    <w:rsid w:val="00C74179"/>
    <w:rsid w:val="00C746AA"/>
    <w:rsid w:val="00C750C0"/>
    <w:rsid w:val="00C7511C"/>
    <w:rsid w:val="00C759BB"/>
    <w:rsid w:val="00C75D4F"/>
    <w:rsid w:val="00C77973"/>
    <w:rsid w:val="00C77AA3"/>
    <w:rsid w:val="00C80085"/>
    <w:rsid w:val="00C8060C"/>
    <w:rsid w:val="00C82789"/>
    <w:rsid w:val="00C829A8"/>
    <w:rsid w:val="00C84BBB"/>
    <w:rsid w:val="00C91433"/>
    <w:rsid w:val="00C91595"/>
    <w:rsid w:val="00C92131"/>
    <w:rsid w:val="00C927A2"/>
    <w:rsid w:val="00C947C7"/>
    <w:rsid w:val="00C96C93"/>
    <w:rsid w:val="00C9741D"/>
    <w:rsid w:val="00C97BF2"/>
    <w:rsid w:val="00CA051D"/>
    <w:rsid w:val="00CA0F72"/>
    <w:rsid w:val="00CA246C"/>
    <w:rsid w:val="00CA2FB2"/>
    <w:rsid w:val="00CA3869"/>
    <w:rsid w:val="00CA3A7D"/>
    <w:rsid w:val="00CB0193"/>
    <w:rsid w:val="00CB1268"/>
    <w:rsid w:val="00CB24D9"/>
    <w:rsid w:val="00CB2FFF"/>
    <w:rsid w:val="00CB35C0"/>
    <w:rsid w:val="00CB3A23"/>
    <w:rsid w:val="00CB5129"/>
    <w:rsid w:val="00CB6CFD"/>
    <w:rsid w:val="00CB70A9"/>
    <w:rsid w:val="00CC08C0"/>
    <w:rsid w:val="00CC0A0C"/>
    <w:rsid w:val="00CC0AFD"/>
    <w:rsid w:val="00CC15E5"/>
    <w:rsid w:val="00CC1871"/>
    <w:rsid w:val="00CC19D4"/>
    <w:rsid w:val="00CC2387"/>
    <w:rsid w:val="00CC3A10"/>
    <w:rsid w:val="00CC4150"/>
    <w:rsid w:val="00CC44F1"/>
    <w:rsid w:val="00CC48E7"/>
    <w:rsid w:val="00CC7387"/>
    <w:rsid w:val="00CC7785"/>
    <w:rsid w:val="00CD03FA"/>
    <w:rsid w:val="00CD0D8E"/>
    <w:rsid w:val="00CD1262"/>
    <w:rsid w:val="00CD1B34"/>
    <w:rsid w:val="00CD1E46"/>
    <w:rsid w:val="00CD2927"/>
    <w:rsid w:val="00CD2CD5"/>
    <w:rsid w:val="00CD3617"/>
    <w:rsid w:val="00CD38ED"/>
    <w:rsid w:val="00CD3A87"/>
    <w:rsid w:val="00CD3EE0"/>
    <w:rsid w:val="00CD4903"/>
    <w:rsid w:val="00CD5188"/>
    <w:rsid w:val="00CD78F9"/>
    <w:rsid w:val="00CD7A58"/>
    <w:rsid w:val="00CE01B0"/>
    <w:rsid w:val="00CE05A0"/>
    <w:rsid w:val="00CE1ED8"/>
    <w:rsid w:val="00CE37E0"/>
    <w:rsid w:val="00CE3C6F"/>
    <w:rsid w:val="00CE3E6D"/>
    <w:rsid w:val="00CE3F5A"/>
    <w:rsid w:val="00CE6B7D"/>
    <w:rsid w:val="00CF00AC"/>
    <w:rsid w:val="00CF2287"/>
    <w:rsid w:val="00CF247E"/>
    <w:rsid w:val="00CF4065"/>
    <w:rsid w:val="00CF4808"/>
    <w:rsid w:val="00CF6A12"/>
    <w:rsid w:val="00CF6CE4"/>
    <w:rsid w:val="00CF7A3B"/>
    <w:rsid w:val="00D034B8"/>
    <w:rsid w:val="00D03F07"/>
    <w:rsid w:val="00D04536"/>
    <w:rsid w:val="00D0457C"/>
    <w:rsid w:val="00D064E7"/>
    <w:rsid w:val="00D07433"/>
    <w:rsid w:val="00D07451"/>
    <w:rsid w:val="00D10FE8"/>
    <w:rsid w:val="00D11BFC"/>
    <w:rsid w:val="00D12BE4"/>
    <w:rsid w:val="00D13AD2"/>
    <w:rsid w:val="00D13E5B"/>
    <w:rsid w:val="00D14043"/>
    <w:rsid w:val="00D141FE"/>
    <w:rsid w:val="00D159D4"/>
    <w:rsid w:val="00D17E1A"/>
    <w:rsid w:val="00D20B9F"/>
    <w:rsid w:val="00D218E7"/>
    <w:rsid w:val="00D21BFB"/>
    <w:rsid w:val="00D21D0F"/>
    <w:rsid w:val="00D2415E"/>
    <w:rsid w:val="00D24193"/>
    <w:rsid w:val="00D24C41"/>
    <w:rsid w:val="00D26202"/>
    <w:rsid w:val="00D26B2A"/>
    <w:rsid w:val="00D26C07"/>
    <w:rsid w:val="00D27587"/>
    <w:rsid w:val="00D27DB1"/>
    <w:rsid w:val="00D309C3"/>
    <w:rsid w:val="00D314F4"/>
    <w:rsid w:val="00D3170B"/>
    <w:rsid w:val="00D32473"/>
    <w:rsid w:val="00D33DA0"/>
    <w:rsid w:val="00D34A6A"/>
    <w:rsid w:val="00D34C52"/>
    <w:rsid w:val="00D35F28"/>
    <w:rsid w:val="00D36CBE"/>
    <w:rsid w:val="00D36DAE"/>
    <w:rsid w:val="00D3732E"/>
    <w:rsid w:val="00D42EDA"/>
    <w:rsid w:val="00D42FF8"/>
    <w:rsid w:val="00D43255"/>
    <w:rsid w:val="00D4381B"/>
    <w:rsid w:val="00D44626"/>
    <w:rsid w:val="00D4556D"/>
    <w:rsid w:val="00D45BAA"/>
    <w:rsid w:val="00D460B1"/>
    <w:rsid w:val="00D46EF2"/>
    <w:rsid w:val="00D47783"/>
    <w:rsid w:val="00D50430"/>
    <w:rsid w:val="00D50A0C"/>
    <w:rsid w:val="00D52395"/>
    <w:rsid w:val="00D52BF4"/>
    <w:rsid w:val="00D53D77"/>
    <w:rsid w:val="00D54C17"/>
    <w:rsid w:val="00D553A9"/>
    <w:rsid w:val="00D55B8E"/>
    <w:rsid w:val="00D55BE0"/>
    <w:rsid w:val="00D56446"/>
    <w:rsid w:val="00D57540"/>
    <w:rsid w:val="00D57993"/>
    <w:rsid w:val="00D60536"/>
    <w:rsid w:val="00D6063F"/>
    <w:rsid w:val="00D61BA3"/>
    <w:rsid w:val="00D62050"/>
    <w:rsid w:val="00D6267C"/>
    <w:rsid w:val="00D62D3A"/>
    <w:rsid w:val="00D6326E"/>
    <w:rsid w:val="00D6372A"/>
    <w:rsid w:val="00D66947"/>
    <w:rsid w:val="00D67B70"/>
    <w:rsid w:val="00D71F16"/>
    <w:rsid w:val="00D72104"/>
    <w:rsid w:val="00D7248D"/>
    <w:rsid w:val="00D72714"/>
    <w:rsid w:val="00D743CF"/>
    <w:rsid w:val="00D74A36"/>
    <w:rsid w:val="00D75EA0"/>
    <w:rsid w:val="00D75F52"/>
    <w:rsid w:val="00D773FB"/>
    <w:rsid w:val="00D77563"/>
    <w:rsid w:val="00D80D51"/>
    <w:rsid w:val="00D8114D"/>
    <w:rsid w:val="00D81F47"/>
    <w:rsid w:val="00D82476"/>
    <w:rsid w:val="00D82ED3"/>
    <w:rsid w:val="00D83460"/>
    <w:rsid w:val="00D8361C"/>
    <w:rsid w:val="00D87502"/>
    <w:rsid w:val="00D876C4"/>
    <w:rsid w:val="00D87E3A"/>
    <w:rsid w:val="00D91160"/>
    <w:rsid w:val="00D9283F"/>
    <w:rsid w:val="00D95272"/>
    <w:rsid w:val="00D953E7"/>
    <w:rsid w:val="00D967CA"/>
    <w:rsid w:val="00D976CB"/>
    <w:rsid w:val="00D97B4B"/>
    <w:rsid w:val="00D97FD0"/>
    <w:rsid w:val="00DA04DE"/>
    <w:rsid w:val="00DA1BF5"/>
    <w:rsid w:val="00DA2344"/>
    <w:rsid w:val="00DA2649"/>
    <w:rsid w:val="00DA2F1E"/>
    <w:rsid w:val="00DA392D"/>
    <w:rsid w:val="00DA3CAA"/>
    <w:rsid w:val="00DA4212"/>
    <w:rsid w:val="00DA4C42"/>
    <w:rsid w:val="00DA5C7D"/>
    <w:rsid w:val="00DA75B4"/>
    <w:rsid w:val="00DB060F"/>
    <w:rsid w:val="00DB0861"/>
    <w:rsid w:val="00DB0C1A"/>
    <w:rsid w:val="00DB0C34"/>
    <w:rsid w:val="00DB0F92"/>
    <w:rsid w:val="00DB2521"/>
    <w:rsid w:val="00DB257D"/>
    <w:rsid w:val="00DB2918"/>
    <w:rsid w:val="00DB2ADA"/>
    <w:rsid w:val="00DB30F6"/>
    <w:rsid w:val="00DB3153"/>
    <w:rsid w:val="00DB33B8"/>
    <w:rsid w:val="00DB3830"/>
    <w:rsid w:val="00DB3A9B"/>
    <w:rsid w:val="00DB6439"/>
    <w:rsid w:val="00DB6547"/>
    <w:rsid w:val="00DB6DF3"/>
    <w:rsid w:val="00DB7FEF"/>
    <w:rsid w:val="00DC024C"/>
    <w:rsid w:val="00DC0B93"/>
    <w:rsid w:val="00DC1D69"/>
    <w:rsid w:val="00DC2859"/>
    <w:rsid w:val="00DC31A3"/>
    <w:rsid w:val="00DC4111"/>
    <w:rsid w:val="00DC5241"/>
    <w:rsid w:val="00DC5C1E"/>
    <w:rsid w:val="00DC6570"/>
    <w:rsid w:val="00DC6BBA"/>
    <w:rsid w:val="00DC78A0"/>
    <w:rsid w:val="00DC7BA0"/>
    <w:rsid w:val="00DD0284"/>
    <w:rsid w:val="00DD0E18"/>
    <w:rsid w:val="00DD0E6B"/>
    <w:rsid w:val="00DD1A62"/>
    <w:rsid w:val="00DD2098"/>
    <w:rsid w:val="00DD242B"/>
    <w:rsid w:val="00DD3070"/>
    <w:rsid w:val="00DD4207"/>
    <w:rsid w:val="00DD4570"/>
    <w:rsid w:val="00DD53B6"/>
    <w:rsid w:val="00DD5582"/>
    <w:rsid w:val="00DD6299"/>
    <w:rsid w:val="00DD63A5"/>
    <w:rsid w:val="00DE06A3"/>
    <w:rsid w:val="00DE077E"/>
    <w:rsid w:val="00DE22FA"/>
    <w:rsid w:val="00DE3C1C"/>
    <w:rsid w:val="00DE4DAD"/>
    <w:rsid w:val="00DE6411"/>
    <w:rsid w:val="00DE7007"/>
    <w:rsid w:val="00DE77EE"/>
    <w:rsid w:val="00DF02EC"/>
    <w:rsid w:val="00DF0698"/>
    <w:rsid w:val="00DF1055"/>
    <w:rsid w:val="00DF29F3"/>
    <w:rsid w:val="00DF308B"/>
    <w:rsid w:val="00DF3928"/>
    <w:rsid w:val="00DF6869"/>
    <w:rsid w:val="00DF6947"/>
    <w:rsid w:val="00DF7367"/>
    <w:rsid w:val="00E003C2"/>
    <w:rsid w:val="00E00FD0"/>
    <w:rsid w:val="00E02113"/>
    <w:rsid w:val="00E02CE9"/>
    <w:rsid w:val="00E02EE4"/>
    <w:rsid w:val="00E0300C"/>
    <w:rsid w:val="00E03135"/>
    <w:rsid w:val="00E052A3"/>
    <w:rsid w:val="00E05E3A"/>
    <w:rsid w:val="00E05ED1"/>
    <w:rsid w:val="00E0621C"/>
    <w:rsid w:val="00E107AD"/>
    <w:rsid w:val="00E117D9"/>
    <w:rsid w:val="00E11D99"/>
    <w:rsid w:val="00E120E4"/>
    <w:rsid w:val="00E13669"/>
    <w:rsid w:val="00E1380D"/>
    <w:rsid w:val="00E14C60"/>
    <w:rsid w:val="00E16816"/>
    <w:rsid w:val="00E229F0"/>
    <w:rsid w:val="00E23246"/>
    <w:rsid w:val="00E2364C"/>
    <w:rsid w:val="00E25007"/>
    <w:rsid w:val="00E256EF"/>
    <w:rsid w:val="00E27AD1"/>
    <w:rsid w:val="00E30A86"/>
    <w:rsid w:val="00E30C09"/>
    <w:rsid w:val="00E329BF"/>
    <w:rsid w:val="00E32A4D"/>
    <w:rsid w:val="00E32FB7"/>
    <w:rsid w:val="00E339C7"/>
    <w:rsid w:val="00E342D7"/>
    <w:rsid w:val="00E344E6"/>
    <w:rsid w:val="00E35A78"/>
    <w:rsid w:val="00E36300"/>
    <w:rsid w:val="00E36A1E"/>
    <w:rsid w:val="00E40E14"/>
    <w:rsid w:val="00E414E1"/>
    <w:rsid w:val="00E42514"/>
    <w:rsid w:val="00E42A60"/>
    <w:rsid w:val="00E436C8"/>
    <w:rsid w:val="00E43A07"/>
    <w:rsid w:val="00E43CDE"/>
    <w:rsid w:val="00E4475A"/>
    <w:rsid w:val="00E447F6"/>
    <w:rsid w:val="00E46CF4"/>
    <w:rsid w:val="00E50D5F"/>
    <w:rsid w:val="00E518C1"/>
    <w:rsid w:val="00E51FBF"/>
    <w:rsid w:val="00E5337E"/>
    <w:rsid w:val="00E53AA2"/>
    <w:rsid w:val="00E53BF0"/>
    <w:rsid w:val="00E53F67"/>
    <w:rsid w:val="00E55121"/>
    <w:rsid w:val="00E55AF3"/>
    <w:rsid w:val="00E56F96"/>
    <w:rsid w:val="00E57992"/>
    <w:rsid w:val="00E60D69"/>
    <w:rsid w:val="00E61932"/>
    <w:rsid w:val="00E61CDA"/>
    <w:rsid w:val="00E61FEA"/>
    <w:rsid w:val="00E62D73"/>
    <w:rsid w:val="00E6303B"/>
    <w:rsid w:val="00E636BD"/>
    <w:rsid w:val="00E63A34"/>
    <w:rsid w:val="00E6507D"/>
    <w:rsid w:val="00E657B8"/>
    <w:rsid w:val="00E662CE"/>
    <w:rsid w:val="00E66E27"/>
    <w:rsid w:val="00E7044E"/>
    <w:rsid w:val="00E71722"/>
    <w:rsid w:val="00E7233E"/>
    <w:rsid w:val="00E72866"/>
    <w:rsid w:val="00E72926"/>
    <w:rsid w:val="00E729A8"/>
    <w:rsid w:val="00E7301E"/>
    <w:rsid w:val="00E7746A"/>
    <w:rsid w:val="00E77585"/>
    <w:rsid w:val="00E77E4B"/>
    <w:rsid w:val="00E77F92"/>
    <w:rsid w:val="00E80DDF"/>
    <w:rsid w:val="00E80FB3"/>
    <w:rsid w:val="00E81512"/>
    <w:rsid w:val="00E81CCE"/>
    <w:rsid w:val="00E831DA"/>
    <w:rsid w:val="00E84519"/>
    <w:rsid w:val="00E85254"/>
    <w:rsid w:val="00E862E2"/>
    <w:rsid w:val="00E87311"/>
    <w:rsid w:val="00E87485"/>
    <w:rsid w:val="00E87633"/>
    <w:rsid w:val="00E877E8"/>
    <w:rsid w:val="00E87AC0"/>
    <w:rsid w:val="00E906EA"/>
    <w:rsid w:val="00E913F4"/>
    <w:rsid w:val="00E91507"/>
    <w:rsid w:val="00E9177E"/>
    <w:rsid w:val="00E92BE4"/>
    <w:rsid w:val="00E93717"/>
    <w:rsid w:val="00E9451E"/>
    <w:rsid w:val="00E946AF"/>
    <w:rsid w:val="00E94B2C"/>
    <w:rsid w:val="00E954D5"/>
    <w:rsid w:val="00E979A8"/>
    <w:rsid w:val="00EA1B20"/>
    <w:rsid w:val="00EA1EB0"/>
    <w:rsid w:val="00EA276B"/>
    <w:rsid w:val="00EA2B06"/>
    <w:rsid w:val="00EA2E4E"/>
    <w:rsid w:val="00EA3D89"/>
    <w:rsid w:val="00EA42E3"/>
    <w:rsid w:val="00EB0470"/>
    <w:rsid w:val="00EB0C48"/>
    <w:rsid w:val="00EB2302"/>
    <w:rsid w:val="00EB31B2"/>
    <w:rsid w:val="00EB3536"/>
    <w:rsid w:val="00EB3CF0"/>
    <w:rsid w:val="00EB4562"/>
    <w:rsid w:val="00EB4B63"/>
    <w:rsid w:val="00EB51B6"/>
    <w:rsid w:val="00EB557E"/>
    <w:rsid w:val="00EB5919"/>
    <w:rsid w:val="00EB5BFB"/>
    <w:rsid w:val="00EB5F0B"/>
    <w:rsid w:val="00EB6ACF"/>
    <w:rsid w:val="00EB7675"/>
    <w:rsid w:val="00EC150B"/>
    <w:rsid w:val="00EC254F"/>
    <w:rsid w:val="00EC2843"/>
    <w:rsid w:val="00EC2FD9"/>
    <w:rsid w:val="00EC35AA"/>
    <w:rsid w:val="00EC36C6"/>
    <w:rsid w:val="00EC37B1"/>
    <w:rsid w:val="00EC380E"/>
    <w:rsid w:val="00EC4550"/>
    <w:rsid w:val="00EC6E5E"/>
    <w:rsid w:val="00EC73DA"/>
    <w:rsid w:val="00ED0739"/>
    <w:rsid w:val="00ED0956"/>
    <w:rsid w:val="00ED0C67"/>
    <w:rsid w:val="00ED1473"/>
    <w:rsid w:val="00ED2330"/>
    <w:rsid w:val="00ED2F2F"/>
    <w:rsid w:val="00ED318E"/>
    <w:rsid w:val="00ED3F03"/>
    <w:rsid w:val="00ED4F53"/>
    <w:rsid w:val="00ED5838"/>
    <w:rsid w:val="00ED5C28"/>
    <w:rsid w:val="00ED5E2D"/>
    <w:rsid w:val="00ED76AE"/>
    <w:rsid w:val="00ED775D"/>
    <w:rsid w:val="00ED77DF"/>
    <w:rsid w:val="00ED7FB9"/>
    <w:rsid w:val="00EE048E"/>
    <w:rsid w:val="00EE0CE6"/>
    <w:rsid w:val="00EE0DFE"/>
    <w:rsid w:val="00EE1904"/>
    <w:rsid w:val="00EE2243"/>
    <w:rsid w:val="00EE2BFF"/>
    <w:rsid w:val="00EE3D91"/>
    <w:rsid w:val="00EE40D7"/>
    <w:rsid w:val="00EE46D5"/>
    <w:rsid w:val="00EE651C"/>
    <w:rsid w:val="00EE6B4F"/>
    <w:rsid w:val="00EE7621"/>
    <w:rsid w:val="00EE7B44"/>
    <w:rsid w:val="00EF04CE"/>
    <w:rsid w:val="00EF3937"/>
    <w:rsid w:val="00EF3C8D"/>
    <w:rsid w:val="00EF3DC3"/>
    <w:rsid w:val="00EF40FE"/>
    <w:rsid w:val="00EF48A1"/>
    <w:rsid w:val="00EF51F6"/>
    <w:rsid w:val="00EF53B6"/>
    <w:rsid w:val="00EF790E"/>
    <w:rsid w:val="00F00713"/>
    <w:rsid w:val="00F00ED9"/>
    <w:rsid w:val="00F03F4F"/>
    <w:rsid w:val="00F04297"/>
    <w:rsid w:val="00F05308"/>
    <w:rsid w:val="00F0573E"/>
    <w:rsid w:val="00F05A90"/>
    <w:rsid w:val="00F06634"/>
    <w:rsid w:val="00F07CE4"/>
    <w:rsid w:val="00F1001A"/>
    <w:rsid w:val="00F1004E"/>
    <w:rsid w:val="00F10806"/>
    <w:rsid w:val="00F136FF"/>
    <w:rsid w:val="00F14628"/>
    <w:rsid w:val="00F147C5"/>
    <w:rsid w:val="00F15D3D"/>
    <w:rsid w:val="00F15EDB"/>
    <w:rsid w:val="00F1785D"/>
    <w:rsid w:val="00F208C9"/>
    <w:rsid w:val="00F2105F"/>
    <w:rsid w:val="00F22B7A"/>
    <w:rsid w:val="00F22CF8"/>
    <w:rsid w:val="00F23837"/>
    <w:rsid w:val="00F23E54"/>
    <w:rsid w:val="00F2487E"/>
    <w:rsid w:val="00F26A4C"/>
    <w:rsid w:val="00F26F38"/>
    <w:rsid w:val="00F27D24"/>
    <w:rsid w:val="00F27DCC"/>
    <w:rsid w:val="00F302CC"/>
    <w:rsid w:val="00F30D19"/>
    <w:rsid w:val="00F30ECE"/>
    <w:rsid w:val="00F3252A"/>
    <w:rsid w:val="00F32E59"/>
    <w:rsid w:val="00F355A9"/>
    <w:rsid w:val="00F35BE3"/>
    <w:rsid w:val="00F35BF8"/>
    <w:rsid w:val="00F35D36"/>
    <w:rsid w:val="00F36DEF"/>
    <w:rsid w:val="00F372C2"/>
    <w:rsid w:val="00F40390"/>
    <w:rsid w:val="00F408A6"/>
    <w:rsid w:val="00F408F7"/>
    <w:rsid w:val="00F40978"/>
    <w:rsid w:val="00F4159F"/>
    <w:rsid w:val="00F4273D"/>
    <w:rsid w:val="00F42841"/>
    <w:rsid w:val="00F42D38"/>
    <w:rsid w:val="00F43111"/>
    <w:rsid w:val="00F4355D"/>
    <w:rsid w:val="00F45055"/>
    <w:rsid w:val="00F45160"/>
    <w:rsid w:val="00F45910"/>
    <w:rsid w:val="00F45F65"/>
    <w:rsid w:val="00F4666D"/>
    <w:rsid w:val="00F46688"/>
    <w:rsid w:val="00F474AA"/>
    <w:rsid w:val="00F50130"/>
    <w:rsid w:val="00F50346"/>
    <w:rsid w:val="00F50C37"/>
    <w:rsid w:val="00F51EFC"/>
    <w:rsid w:val="00F52EE8"/>
    <w:rsid w:val="00F53288"/>
    <w:rsid w:val="00F532A5"/>
    <w:rsid w:val="00F53CD7"/>
    <w:rsid w:val="00F5466D"/>
    <w:rsid w:val="00F54859"/>
    <w:rsid w:val="00F554AC"/>
    <w:rsid w:val="00F56985"/>
    <w:rsid w:val="00F56ED1"/>
    <w:rsid w:val="00F6013A"/>
    <w:rsid w:val="00F6014C"/>
    <w:rsid w:val="00F6054B"/>
    <w:rsid w:val="00F61ABA"/>
    <w:rsid w:val="00F61E48"/>
    <w:rsid w:val="00F640B1"/>
    <w:rsid w:val="00F65E8F"/>
    <w:rsid w:val="00F6612C"/>
    <w:rsid w:val="00F66ED6"/>
    <w:rsid w:val="00F67481"/>
    <w:rsid w:val="00F67D7B"/>
    <w:rsid w:val="00F67EFF"/>
    <w:rsid w:val="00F70383"/>
    <w:rsid w:val="00F7066C"/>
    <w:rsid w:val="00F708A8"/>
    <w:rsid w:val="00F70977"/>
    <w:rsid w:val="00F70E3B"/>
    <w:rsid w:val="00F71190"/>
    <w:rsid w:val="00F72ABF"/>
    <w:rsid w:val="00F72C84"/>
    <w:rsid w:val="00F74988"/>
    <w:rsid w:val="00F75234"/>
    <w:rsid w:val="00F7681C"/>
    <w:rsid w:val="00F76F66"/>
    <w:rsid w:val="00F770A4"/>
    <w:rsid w:val="00F81DBE"/>
    <w:rsid w:val="00F82A1A"/>
    <w:rsid w:val="00F82B55"/>
    <w:rsid w:val="00F832C7"/>
    <w:rsid w:val="00F83DF5"/>
    <w:rsid w:val="00F85355"/>
    <w:rsid w:val="00F8573A"/>
    <w:rsid w:val="00F86521"/>
    <w:rsid w:val="00F86B65"/>
    <w:rsid w:val="00F87A6C"/>
    <w:rsid w:val="00F92476"/>
    <w:rsid w:val="00F93150"/>
    <w:rsid w:val="00F946EE"/>
    <w:rsid w:val="00F95A8F"/>
    <w:rsid w:val="00F9649A"/>
    <w:rsid w:val="00F964E8"/>
    <w:rsid w:val="00F96A0D"/>
    <w:rsid w:val="00FA5405"/>
    <w:rsid w:val="00FA68E3"/>
    <w:rsid w:val="00FA6EA7"/>
    <w:rsid w:val="00FA711A"/>
    <w:rsid w:val="00FB0084"/>
    <w:rsid w:val="00FB0775"/>
    <w:rsid w:val="00FB07CE"/>
    <w:rsid w:val="00FB085A"/>
    <w:rsid w:val="00FB0908"/>
    <w:rsid w:val="00FB11BA"/>
    <w:rsid w:val="00FB1355"/>
    <w:rsid w:val="00FB181F"/>
    <w:rsid w:val="00FB23D4"/>
    <w:rsid w:val="00FB388D"/>
    <w:rsid w:val="00FB4C79"/>
    <w:rsid w:val="00FB63C2"/>
    <w:rsid w:val="00FB6734"/>
    <w:rsid w:val="00FB6863"/>
    <w:rsid w:val="00FB723E"/>
    <w:rsid w:val="00FB7AF2"/>
    <w:rsid w:val="00FC0798"/>
    <w:rsid w:val="00FC07E4"/>
    <w:rsid w:val="00FC1044"/>
    <w:rsid w:val="00FC1797"/>
    <w:rsid w:val="00FC1E05"/>
    <w:rsid w:val="00FC257D"/>
    <w:rsid w:val="00FC2928"/>
    <w:rsid w:val="00FC367C"/>
    <w:rsid w:val="00FC3821"/>
    <w:rsid w:val="00FC3992"/>
    <w:rsid w:val="00FC3A1D"/>
    <w:rsid w:val="00FC4BAE"/>
    <w:rsid w:val="00FC5452"/>
    <w:rsid w:val="00FC64E5"/>
    <w:rsid w:val="00FC6578"/>
    <w:rsid w:val="00FC6749"/>
    <w:rsid w:val="00FC6FA1"/>
    <w:rsid w:val="00FC7042"/>
    <w:rsid w:val="00FC7F5A"/>
    <w:rsid w:val="00FD27CD"/>
    <w:rsid w:val="00FD44DA"/>
    <w:rsid w:val="00FD4619"/>
    <w:rsid w:val="00FD57AC"/>
    <w:rsid w:val="00FD629E"/>
    <w:rsid w:val="00FD62C3"/>
    <w:rsid w:val="00FD7F33"/>
    <w:rsid w:val="00FE018A"/>
    <w:rsid w:val="00FE1C1D"/>
    <w:rsid w:val="00FE1D43"/>
    <w:rsid w:val="00FE25E7"/>
    <w:rsid w:val="00FE3228"/>
    <w:rsid w:val="00FE4F2D"/>
    <w:rsid w:val="00FE576C"/>
    <w:rsid w:val="00FE5955"/>
    <w:rsid w:val="00FE5EC8"/>
    <w:rsid w:val="00FE7179"/>
    <w:rsid w:val="00FF0362"/>
    <w:rsid w:val="00FF10D4"/>
    <w:rsid w:val="00FF1699"/>
    <w:rsid w:val="00FF197B"/>
    <w:rsid w:val="00FF1C30"/>
    <w:rsid w:val="00FF3451"/>
    <w:rsid w:val="00FF3584"/>
    <w:rsid w:val="00FF3E5E"/>
    <w:rsid w:val="00FF3F6F"/>
    <w:rsid w:val="00FF475F"/>
    <w:rsid w:val="00FF4821"/>
    <w:rsid w:val="00FF4CCA"/>
    <w:rsid w:val="00FF5A9D"/>
    <w:rsid w:val="00FF63A1"/>
    <w:rsid w:val="00FF6AF1"/>
    <w:rsid w:val="00FF7279"/>
    <w:rsid w:val="00FF7F6B"/>
    <w:rsid w:val="1AB84C4B"/>
    <w:rsid w:val="1B0868F8"/>
    <w:rsid w:val="30EE7F82"/>
    <w:rsid w:val="40F43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uiPriority="1"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annotation text" w:uiPriority="99" w:qFormat="1"/>
    <w:lsdException w:name="header" w:uiPriority="99"/>
    <w:lsdException w:name="footer" w:uiPriority="99"/>
    <w:lsdException w:name="caption" w:semiHidden="1" w:unhideWhenUsed="1" w:qFormat="1"/>
    <w:lsdException w:name="annotation reference" w:uiPriority="99" w:qFormat="1"/>
    <w:lsdException w:name="endnote reference" w:semiHidden="1" w:uiPriority="99"/>
    <w:lsdException w:name="endnote text" w:uiPriority="99"/>
    <w:lsdException w:name="Title" w:uiPriority="10" w:qFormat="1"/>
    <w:lsdException w:name="Default Paragraph Font" w:semiHidden="1"/>
    <w:lsdException w:name="Body Text" w:uiPriority="1" w:qFormat="1"/>
    <w:lsdException w:name="Body Text Indent" w:uiPriority="99"/>
    <w:lsdException w:name="Subtitle" w:qFormat="1"/>
    <w:lsdException w:name="Body Text First Indent 2" w:uiPriority="99"/>
    <w:lsdException w:name="Hyperlink" w:uiPriority="99"/>
    <w:lsdException w:name="FollowedHyperlink" w:uiPriority="99"/>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qFormat="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31DA"/>
    <w:pPr>
      <w:widowControl w:val="0"/>
      <w:autoSpaceDE w:val="0"/>
      <w:autoSpaceDN w:val="0"/>
      <w:spacing w:line="360" w:lineRule="auto"/>
      <w:ind w:firstLineChars="200" w:firstLine="200"/>
      <w:jc w:val="both"/>
    </w:pPr>
    <w:rPr>
      <w:rFonts w:ascii="宋体" w:eastAsia="仿宋_GB2312"/>
      <w:kern w:val="28"/>
      <w:sz w:val="28"/>
      <w:szCs w:val="28"/>
    </w:rPr>
  </w:style>
  <w:style w:type="paragraph" w:styleId="1">
    <w:name w:val="heading 1"/>
    <w:basedOn w:val="a"/>
    <w:next w:val="a"/>
    <w:link w:val="1Char"/>
    <w:uiPriority w:val="9"/>
    <w:qFormat/>
    <w:rsid w:val="00E831DA"/>
    <w:pPr>
      <w:keepNext/>
      <w:keepLines/>
      <w:spacing w:before="100" w:beforeAutospacing="1" w:after="100" w:afterAutospacing="1"/>
      <w:ind w:firstLineChars="0" w:firstLine="0"/>
      <w:jc w:val="left"/>
      <w:outlineLvl w:val="0"/>
    </w:pPr>
    <w:rPr>
      <w:rFonts w:ascii="华文新魏" w:eastAsia="宋体"/>
      <w:b/>
      <w:bCs/>
      <w:kern w:val="44"/>
      <w:sz w:val="32"/>
      <w:szCs w:val="44"/>
    </w:rPr>
  </w:style>
  <w:style w:type="paragraph" w:styleId="2">
    <w:name w:val="heading 2"/>
    <w:basedOn w:val="a"/>
    <w:next w:val="a"/>
    <w:link w:val="2Char"/>
    <w:uiPriority w:val="1"/>
    <w:qFormat/>
    <w:rsid w:val="00201EE5"/>
    <w:pPr>
      <w:keepNext/>
      <w:keepLines/>
      <w:spacing w:before="100" w:beforeAutospacing="1" w:after="100" w:afterAutospacing="1"/>
      <w:ind w:firstLineChars="0" w:firstLine="0"/>
      <w:jc w:val="left"/>
      <w:outlineLvl w:val="1"/>
    </w:pPr>
    <w:rPr>
      <w:rFonts w:ascii="Arial" w:eastAsia="宋体" w:hAnsi="Arial"/>
      <w:b/>
      <w:bCs/>
      <w:kern w:val="2"/>
      <w:sz w:val="30"/>
      <w:szCs w:val="32"/>
    </w:rPr>
  </w:style>
  <w:style w:type="paragraph" w:styleId="3">
    <w:name w:val="heading 3"/>
    <w:basedOn w:val="a"/>
    <w:next w:val="a"/>
    <w:link w:val="3Char"/>
    <w:uiPriority w:val="1"/>
    <w:qFormat/>
    <w:rsid w:val="00923DDF"/>
    <w:pPr>
      <w:keepNext/>
      <w:keepLines/>
      <w:spacing w:before="100" w:beforeAutospacing="1" w:after="100" w:afterAutospacing="1"/>
      <w:ind w:firstLineChars="0" w:firstLine="0"/>
      <w:outlineLvl w:val="2"/>
    </w:pPr>
    <w:rPr>
      <w:rFonts w:ascii="Times New Roman"/>
      <w:b/>
      <w:bCs/>
      <w:kern w:val="2"/>
      <w:sz w:val="30"/>
      <w:szCs w:val="32"/>
    </w:rPr>
  </w:style>
  <w:style w:type="paragraph" w:styleId="4">
    <w:name w:val="heading 4"/>
    <w:basedOn w:val="a"/>
    <w:next w:val="a"/>
    <w:link w:val="4Char"/>
    <w:uiPriority w:val="9"/>
    <w:qFormat/>
    <w:rsid w:val="00923DDF"/>
    <w:pPr>
      <w:outlineLvl w:val="3"/>
    </w:pPr>
  </w:style>
  <w:style w:type="paragraph" w:styleId="5">
    <w:name w:val="heading 5"/>
    <w:basedOn w:val="a"/>
    <w:next w:val="a"/>
    <w:link w:val="5Char"/>
    <w:qFormat/>
    <w:rsid w:val="00923DDF"/>
    <w:pPr>
      <w:keepNext/>
      <w:numPr>
        <w:numId w:val="1"/>
      </w:numPr>
      <w:tabs>
        <w:tab w:val="left" w:pos="435"/>
      </w:tabs>
      <w:outlineLvl w:val="4"/>
    </w:pPr>
    <w:rPr>
      <w:szCs w:val="24"/>
    </w:rPr>
  </w:style>
  <w:style w:type="paragraph" w:styleId="6">
    <w:name w:val="heading 6"/>
    <w:basedOn w:val="a"/>
    <w:next w:val="a"/>
    <w:qFormat/>
    <w:rsid w:val="00923DDF"/>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923DDF"/>
    <w:pPr>
      <w:keepNext/>
      <w:keepLines/>
      <w:spacing w:before="240" w:after="64" w:line="320" w:lineRule="auto"/>
      <w:outlineLvl w:val="6"/>
    </w:pPr>
    <w:rPr>
      <w:b/>
      <w:bCs/>
      <w:sz w:val="24"/>
      <w:szCs w:val="24"/>
    </w:rPr>
  </w:style>
  <w:style w:type="paragraph" w:styleId="8">
    <w:name w:val="heading 8"/>
    <w:basedOn w:val="a"/>
    <w:next w:val="a"/>
    <w:qFormat/>
    <w:rsid w:val="00923DDF"/>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923DDF"/>
    <w:pPr>
      <w:keepNext/>
      <w:keepLines/>
      <w:spacing w:before="240" w:after="64" w:line="320" w:lineRule="auto"/>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831DA"/>
    <w:rPr>
      <w:rFonts w:ascii="华文新魏"/>
      <w:b/>
      <w:bCs/>
      <w:kern w:val="44"/>
      <w:sz w:val="32"/>
      <w:szCs w:val="44"/>
    </w:rPr>
  </w:style>
  <w:style w:type="character" w:customStyle="1" w:styleId="2Char">
    <w:name w:val="标题 2 Char"/>
    <w:link w:val="2"/>
    <w:uiPriority w:val="1"/>
    <w:rsid w:val="00201EE5"/>
    <w:rPr>
      <w:rFonts w:ascii="Arial" w:hAnsi="Arial"/>
      <w:b/>
      <w:bCs/>
      <w:kern w:val="2"/>
      <w:sz w:val="30"/>
      <w:szCs w:val="32"/>
    </w:rPr>
  </w:style>
  <w:style w:type="character" w:customStyle="1" w:styleId="3Char">
    <w:name w:val="标题 3 Char"/>
    <w:link w:val="3"/>
    <w:uiPriority w:val="1"/>
    <w:rsid w:val="00923DDF"/>
    <w:rPr>
      <w:rFonts w:eastAsia="宋体"/>
      <w:b/>
      <w:bCs/>
      <w:kern w:val="2"/>
      <w:sz w:val="30"/>
      <w:szCs w:val="32"/>
      <w:lang w:val="en-US" w:eastAsia="zh-CN" w:bidi="ar-SA"/>
    </w:rPr>
  </w:style>
  <w:style w:type="paragraph" w:styleId="70">
    <w:name w:val="toc 7"/>
    <w:basedOn w:val="a"/>
    <w:next w:val="a"/>
    <w:uiPriority w:val="39"/>
    <w:rsid w:val="00923DDF"/>
    <w:pPr>
      <w:ind w:left="1680"/>
      <w:jc w:val="left"/>
    </w:pPr>
    <w:rPr>
      <w:sz w:val="18"/>
      <w:szCs w:val="18"/>
    </w:rPr>
  </w:style>
  <w:style w:type="paragraph" w:styleId="a3">
    <w:name w:val="Document Map"/>
    <w:basedOn w:val="a"/>
    <w:semiHidden/>
    <w:rsid w:val="00923DDF"/>
    <w:pPr>
      <w:shd w:val="clear" w:color="auto" w:fill="000080"/>
    </w:pPr>
  </w:style>
  <w:style w:type="paragraph" w:styleId="a4">
    <w:name w:val="annotation text"/>
    <w:basedOn w:val="a"/>
    <w:link w:val="Char"/>
    <w:uiPriority w:val="99"/>
    <w:qFormat/>
    <w:rsid w:val="00923DDF"/>
    <w:pPr>
      <w:jc w:val="left"/>
    </w:pPr>
  </w:style>
  <w:style w:type="character" w:customStyle="1" w:styleId="Char">
    <w:name w:val="批注文字 Char"/>
    <w:link w:val="a4"/>
    <w:uiPriority w:val="99"/>
    <w:rsid w:val="00923DDF"/>
    <w:rPr>
      <w:rFonts w:ascii="宋体"/>
      <w:kern w:val="28"/>
      <w:sz w:val="28"/>
      <w:szCs w:val="28"/>
    </w:rPr>
  </w:style>
  <w:style w:type="paragraph" w:styleId="50">
    <w:name w:val="toc 5"/>
    <w:basedOn w:val="a"/>
    <w:next w:val="a"/>
    <w:uiPriority w:val="39"/>
    <w:rsid w:val="00923DDF"/>
    <w:pPr>
      <w:ind w:left="1120"/>
      <w:jc w:val="left"/>
    </w:pPr>
    <w:rPr>
      <w:sz w:val="18"/>
      <w:szCs w:val="18"/>
    </w:rPr>
  </w:style>
  <w:style w:type="paragraph" w:styleId="30">
    <w:name w:val="toc 3"/>
    <w:basedOn w:val="a"/>
    <w:next w:val="a"/>
    <w:uiPriority w:val="39"/>
    <w:rsid w:val="00923DDF"/>
    <w:pPr>
      <w:ind w:left="560"/>
      <w:jc w:val="left"/>
    </w:pPr>
    <w:rPr>
      <w:i/>
      <w:iCs/>
      <w:sz w:val="20"/>
    </w:rPr>
  </w:style>
  <w:style w:type="paragraph" w:styleId="80">
    <w:name w:val="toc 8"/>
    <w:basedOn w:val="a"/>
    <w:next w:val="a"/>
    <w:uiPriority w:val="39"/>
    <w:rsid w:val="00923DDF"/>
    <w:pPr>
      <w:ind w:left="1960"/>
      <w:jc w:val="left"/>
    </w:pPr>
    <w:rPr>
      <w:sz w:val="18"/>
      <w:szCs w:val="18"/>
    </w:rPr>
  </w:style>
  <w:style w:type="paragraph" w:styleId="a5">
    <w:name w:val="Balloon Text"/>
    <w:basedOn w:val="a"/>
    <w:link w:val="Char0"/>
    <w:uiPriority w:val="99"/>
    <w:rsid w:val="00923DDF"/>
    <w:rPr>
      <w:sz w:val="18"/>
      <w:szCs w:val="18"/>
    </w:rPr>
  </w:style>
  <w:style w:type="paragraph" w:styleId="a6">
    <w:name w:val="footer"/>
    <w:basedOn w:val="a"/>
    <w:link w:val="Char1"/>
    <w:uiPriority w:val="99"/>
    <w:rsid w:val="00923DDF"/>
    <w:pPr>
      <w:tabs>
        <w:tab w:val="center" w:pos="4153"/>
        <w:tab w:val="right" w:pos="8306"/>
      </w:tabs>
      <w:snapToGrid w:val="0"/>
      <w:spacing w:line="240" w:lineRule="auto"/>
      <w:jc w:val="left"/>
    </w:pPr>
    <w:rPr>
      <w:sz w:val="18"/>
      <w:szCs w:val="18"/>
    </w:rPr>
  </w:style>
  <w:style w:type="character" w:customStyle="1" w:styleId="Char1">
    <w:name w:val="页脚 Char1"/>
    <w:link w:val="a6"/>
    <w:uiPriority w:val="99"/>
    <w:rsid w:val="00923DDF"/>
    <w:rPr>
      <w:rFonts w:ascii="宋体"/>
      <w:kern w:val="28"/>
      <w:sz w:val="18"/>
      <w:szCs w:val="18"/>
    </w:rPr>
  </w:style>
  <w:style w:type="paragraph" w:styleId="a7">
    <w:name w:val="header"/>
    <w:basedOn w:val="a"/>
    <w:link w:val="Char10"/>
    <w:uiPriority w:val="99"/>
    <w:rsid w:val="00923DDF"/>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rsid w:val="00923DDF"/>
    <w:pPr>
      <w:tabs>
        <w:tab w:val="right" w:leader="dot" w:pos="8303"/>
      </w:tabs>
      <w:spacing w:before="120" w:after="120"/>
      <w:ind w:firstLineChars="102" w:firstLine="328"/>
      <w:jc w:val="center"/>
    </w:pPr>
    <w:rPr>
      <w:b/>
      <w:bCs/>
      <w:caps/>
      <w:sz w:val="32"/>
      <w:szCs w:val="32"/>
    </w:rPr>
  </w:style>
  <w:style w:type="paragraph" w:styleId="40">
    <w:name w:val="toc 4"/>
    <w:basedOn w:val="a"/>
    <w:next w:val="a"/>
    <w:uiPriority w:val="39"/>
    <w:rsid w:val="00923DDF"/>
    <w:pPr>
      <w:ind w:left="840"/>
      <w:jc w:val="left"/>
    </w:pPr>
    <w:rPr>
      <w:sz w:val="18"/>
      <w:szCs w:val="18"/>
    </w:rPr>
  </w:style>
  <w:style w:type="paragraph" w:styleId="60">
    <w:name w:val="toc 6"/>
    <w:basedOn w:val="a"/>
    <w:next w:val="a"/>
    <w:uiPriority w:val="39"/>
    <w:rsid w:val="00923DDF"/>
    <w:pPr>
      <w:ind w:left="1400"/>
      <w:jc w:val="left"/>
    </w:pPr>
    <w:rPr>
      <w:sz w:val="18"/>
      <w:szCs w:val="18"/>
    </w:rPr>
  </w:style>
  <w:style w:type="paragraph" w:styleId="20">
    <w:name w:val="toc 2"/>
    <w:basedOn w:val="a"/>
    <w:next w:val="a"/>
    <w:uiPriority w:val="39"/>
    <w:rsid w:val="00923DDF"/>
    <w:pPr>
      <w:ind w:left="280"/>
      <w:jc w:val="left"/>
    </w:pPr>
    <w:rPr>
      <w:smallCaps/>
      <w:sz w:val="20"/>
    </w:rPr>
  </w:style>
  <w:style w:type="paragraph" w:styleId="90">
    <w:name w:val="toc 9"/>
    <w:basedOn w:val="a"/>
    <w:next w:val="a"/>
    <w:uiPriority w:val="39"/>
    <w:rsid w:val="00923DDF"/>
    <w:pPr>
      <w:ind w:left="2240"/>
      <w:jc w:val="left"/>
    </w:pPr>
    <w:rPr>
      <w:sz w:val="18"/>
      <w:szCs w:val="18"/>
    </w:rPr>
  </w:style>
  <w:style w:type="paragraph" w:styleId="a8">
    <w:name w:val="annotation subject"/>
    <w:basedOn w:val="a4"/>
    <w:next w:val="a4"/>
    <w:link w:val="Char2"/>
    <w:uiPriority w:val="99"/>
    <w:rsid w:val="00923DDF"/>
    <w:rPr>
      <w:b/>
      <w:bCs/>
    </w:rPr>
  </w:style>
  <w:style w:type="character" w:customStyle="1" w:styleId="Char2">
    <w:name w:val="批注主题 Char"/>
    <w:link w:val="a8"/>
    <w:uiPriority w:val="99"/>
    <w:rsid w:val="00923DDF"/>
    <w:rPr>
      <w:rFonts w:ascii="宋体"/>
      <w:b/>
      <w:bCs/>
      <w:kern w:val="28"/>
      <w:sz w:val="28"/>
      <w:szCs w:val="28"/>
    </w:rPr>
  </w:style>
  <w:style w:type="character" w:styleId="a9">
    <w:name w:val="endnote reference"/>
    <w:uiPriority w:val="99"/>
    <w:semiHidden/>
    <w:rsid w:val="00923DDF"/>
    <w:rPr>
      <w:rFonts w:ascii="Times New Roman" w:eastAsia="宋体" w:hAnsi="Times New Roman"/>
      <w:sz w:val="24"/>
      <w:szCs w:val="18"/>
      <w:vertAlign w:val="baseline"/>
    </w:rPr>
  </w:style>
  <w:style w:type="character" w:styleId="aa">
    <w:name w:val="page number"/>
    <w:rsid w:val="00923DDF"/>
  </w:style>
  <w:style w:type="character" w:styleId="ab">
    <w:name w:val="Hyperlink"/>
    <w:uiPriority w:val="99"/>
    <w:rsid w:val="00923DDF"/>
    <w:rPr>
      <w:color w:val="0000FF"/>
      <w:u w:val="single"/>
    </w:rPr>
  </w:style>
  <w:style w:type="character" w:styleId="ac">
    <w:name w:val="annotation reference"/>
    <w:uiPriority w:val="99"/>
    <w:qFormat/>
    <w:rsid w:val="00923DDF"/>
    <w:rPr>
      <w:sz w:val="21"/>
      <w:szCs w:val="21"/>
    </w:rPr>
  </w:style>
  <w:style w:type="character" w:customStyle="1" w:styleId="11">
    <w:name w:val="标题 1 字符"/>
    <w:rsid w:val="00923DDF"/>
    <w:rPr>
      <w:rFonts w:ascii="仿宋" w:eastAsia="黑体" w:hAnsi="仿宋" w:cs="仿宋" w:hint="eastAsia"/>
      <w:b/>
      <w:bCs/>
      <w:kern w:val="44"/>
      <w:sz w:val="32"/>
      <w:szCs w:val="44"/>
    </w:rPr>
  </w:style>
  <w:style w:type="character" w:customStyle="1" w:styleId="12">
    <w:name w:val="批注引用1"/>
    <w:rsid w:val="00923DDF"/>
    <w:rPr>
      <w:sz w:val="21"/>
      <w:szCs w:val="21"/>
    </w:rPr>
  </w:style>
  <w:style w:type="character" w:customStyle="1" w:styleId="Char3">
    <w:name w:val="表头 Char"/>
    <w:aliases w:val="普通文字 Char Char"/>
    <w:link w:val="ad"/>
    <w:rsid w:val="00923DDF"/>
    <w:rPr>
      <w:rFonts w:eastAsia="黑体"/>
      <w:b/>
      <w:kern w:val="2"/>
      <w:sz w:val="21"/>
      <w:szCs w:val="22"/>
    </w:rPr>
  </w:style>
  <w:style w:type="paragraph" w:customStyle="1" w:styleId="ad">
    <w:name w:val="表头"/>
    <w:basedOn w:val="a"/>
    <w:next w:val="a"/>
    <w:link w:val="Char3"/>
    <w:qFormat/>
    <w:rsid w:val="00923DDF"/>
    <w:pPr>
      <w:autoSpaceDE/>
      <w:autoSpaceDN/>
      <w:snapToGrid w:val="0"/>
      <w:spacing w:beforeLines="50"/>
      <w:ind w:firstLineChars="0" w:firstLine="0"/>
      <w:jc w:val="center"/>
    </w:pPr>
    <w:rPr>
      <w:rFonts w:ascii="Times New Roman" w:eastAsia="黑体"/>
      <w:b/>
      <w:kern w:val="2"/>
      <w:sz w:val="21"/>
      <w:szCs w:val="22"/>
    </w:rPr>
  </w:style>
  <w:style w:type="character" w:customStyle="1" w:styleId="Char4">
    <w:name w:val="无间隔 Char"/>
    <w:link w:val="ae"/>
    <w:uiPriority w:val="1"/>
    <w:rsid w:val="00923DDF"/>
    <w:rPr>
      <w:rFonts w:ascii="Calibri" w:hAnsi="Calibri"/>
      <w:sz w:val="21"/>
      <w:szCs w:val="22"/>
      <w:lang w:bidi="ar-SA"/>
    </w:rPr>
  </w:style>
  <w:style w:type="paragraph" w:styleId="ae">
    <w:name w:val="No Spacing"/>
    <w:link w:val="Char4"/>
    <w:uiPriority w:val="1"/>
    <w:qFormat/>
    <w:rsid w:val="00923DDF"/>
    <w:rPr>
      <w:rFonts w:ascii="Calibri" w:hAnsi="Calibri"/>
      <w:sz w:val="21"/>
      <w:szCs w:val="22"/>
    </w:rPr>
  </w:style>
  <w:style w:type="character" w:customStyle="1" w:styleId="SMEDIChar">
    <w:name w:val="SMEDI正文 Char"/>
    <w:link w:val="SMEDI"/>
    <w:rsid w:val="00923DDF"/>
    <w:rPr>
      <w:rFonts w:cs="宋体"/>
      <w:spacing w:val="8"/>
      <w:kern w:val="2"/>
      <w:sz w:val="28"/>
    </w:rPr>
  </w:style>
  <w:style w:type="paragraph" w:customStyle="1" w:styleId="SMEDI">
    <w:name w:val="SMEDI正文"/>
    <w:basedOn w:val="a"/>
    <w:link w:val="SMEDIChar"/>
    <w:qFormat/>
    <w:rsid w:val="00923DDF"/>
    <w:pPr>
      <w:autoSpaceDE/>
      <w:autoSpaceDN/>
      <w:spacing w:line="540" w:lineRule="exact"/>
    </w:pPr>
    <w:rPr>
      <w:rFonts w:ascii="Times New Roman"/>
      <w:spacing w:val="8"/>
      <w:kern w:val="2"/>
      <w:szCs w:val="20"/>
    </w:rPr>
  </w:style>
  <w:style w:type="character" w:customStyle="1" w:styleId="psCharChar">
    <w:name w:val="ps居中 Char Char"/>
    <w:link w:val="ps"/>
    <w:rsid w:val="00923DDF"/>
    <w:rPr>
      <w:rFonts w:eastAsia="宋体" w:cs="宋体"/>
      <w:kern w:val="2"/>
      <w:sz w:val="28"/>
      <w:lang w:val="en-US" w:eastAsia="zh-CN" w:bidi="ar-SA"/>
    </w:rPr>
  </w:style>
  <w:style w:type="paragraph" w:customStyle="1" w:styleId="ps">
    <w:name w:val="ps居中"/>
    <w:basedOn w:val="a"/>
    <w:link w:val="psCharChar"/>
    <w:rsid w:val="00923DDF"/>
    <w:pPr>
      <w:ind w:firstLineChars="0" w:firstLine="0"/>
      <w:jc w:val="center"/>
    </w:pPr>
    <w:rPr>
      <w:rFonts w:ascii="Times New Roman" w:cs="宋体"/>
      <w:kern w:val="2"/>
      <w:szCs w:val="20"/>
    </w:rPr>
  </w:style>
  <w:style w:type="paragraph" w:customStyle="1" w:styleId="ps0">
    <w:name w:val="ps表格"/>
    <w:basedOn w:val="a"/>
    <w:next w:val="a"/>
    <w:rsid w:val="00923DDF"/>
    <w:pPr>
      <w:spacing w:line="240" w:lineRule="auto"/>
      <w:ind w:firstLineChars="0" w:firstLine="0"/>
      <w:jc w:val="center"/>
    </w:pPr>
    <w:rPr>
      <w:sz w:val="24"/>
      <w:szCs w:val="24"/>
    </w:rPr>
  </w:style>
  <w:style w:type="paragraph" w:customStyle="1" w:styleId="22">
    <w:name w:val="样式 目录 2 + 左侧:  2 字符"/>
    <w:basedOn w:val="20"/>
    <w:uiPriority w:val="99"/>
    <w:rsid w:val="00923DDF"/>
    <w:pPr>
      <w:tabs>
        <w:tab w:val="right" w:leader="dot" w:pos="8834"/>
      </w:tabs>
      <w:autoSpaceDE/>
      <w:autoSpaceDN/>
      <w:snapToGrid w:val="0"/>
      <w:spacing w:beforeLines="20"/>
      <w:ind w:leftChars="200" w:left="200" w:firstLine="480"/>
      <w:jc w:val="both"/>
    </w:pPr>
    <w:rPr>
      <w:rFonts w:ascii="Times New Roman" w:cs="宋体"/>
      <w:smallCaps w:val="0"/>
      <w:kern w:val="2"/>
      <w:sz w:val="28"/>
      <w:szCs w:val="20"/>
    </w:rPr>
  </w:style>
  <w:style w:type="paragraph" w:customStyle="1" w:styleId="af">
    <w:name w:val="样式 黑体 初号 居中"/>
    <w:basedOn w:val="a"/>
    <w:next w:val="a"/>
    <w:rsid w:val="00923DDF"/>
    <w:pPr>
      <w:spacing w:line="240" w:lineRule="auto"/>
      <w:ind w:firstLineChars="0" w:firstLine="0"/>
      <w:jc w:val="center"/>
    </w:pPr>
    <w:rPr>
      <w:rFonts w:ascii="黑体" w:eastAsia="黑体" w:cs="宋体"/>
      <w:sz w:val="84"/>
    </w:rPr>
  </w:style>
  <w:style w:type="paragraph" w:customStyle="1" w:styleId="smedi0">
    <w:name w:val="smedi"/>
    <w:basedOn w:val="a"/>
    <w:rsid w:val="00923DDF"/>
    <w:pPr>
      <w:widowControl/>
      <w:autoSpaceDE/>
      <w:autoSpaceDN/>
      <w:spacing w:before="100" w:beforeAutospacing="1" w:after="100" w:afterAutospacing="1" w:line="240" w:lineRule="auto"/>
      <w:ind w:firstLineChars="0" w:firstLine="0"/>
      <w:jc w:val="left"/>
    </w:pPr>
    <w:rPr>
      <w:rFonts w:hAnsi="宋体" w:cs="宋体"/>
      <w:kern w:val="0"/>
      <w:szCs w:val="24"/>
    </w:rPr>
  </w:style>
  <w:style w:type="paragraph" w:customStyle="1" w:styleId="af0">
    <w:name w:val="样式 黑体 三号 居中"/>
    <w:basedOn w:val="a"/>
    <w:rsid w:val="00923DDF"/>
    <w:pPr>
      <w:spacing w:line="240" w:lineRule="auto"/>
      <w:ind w:firstLineChars="0" w:firstLine="0"/>
      <w:jc w:val="center"/>
    </w:pPr>
    <w:rPr>
      <w:rFonts w:ascii="黑体" w:eastAsia="黑体" w:cs="宋体"/>
      <w:sz w:val="32"/>
    </w:rPr>
  </w:style>
  <w:style w:type="paragraph" w:customStyle="1" w:styleId="Default">
    <w:name w:val="Default"/>
    <w:rsid w:val="00923DDF"/>
    <w:pPr>
      <w:widowControl w:val="0"/>
      <w:autoSpaceDE w:val="0"/>
      <w:autoSpaceDN w:val="0"/>
      <w:adjustRightInd w:val="0"/>
    </w:pPr>
    <w:rPr>
      <w:rFonts w:ascii="仿宋_GB2312" w:eastAsia="仿宋_GB2312" w:hAnsi="Calibri" w:cs="仿宋_GB2312"/>
      <w:color w:val="000000"/>
      <w:sz w:val="24"/>
      <w:szCs w:val="24"/>
    </w:rPr>
  </w:style>
  <w:style w:type="paragraph" w:styleId="af1">
    <w:name w:val="List Paragraph"/>
    <w:basedOn w:val="a"/>
    <w:uiPriority w:val="34"/>
    <w:qFormat/>
    <w:rsid w:val="00923DDF"/>
    <w:pPr>
      <w:ind w:firstLine="420"/>
    </w:pPr>
  </w:style>
  <w:style w:type="paragraph" w:customStyle="1" w:styleId="CharCharCharCharCharCharCharCharCharCharCharChar1Char">
    <w:name w:val="Char Char Char Char Char Char Char Char Char Char Char Char1 Char"/>
    <w:basedOn w:val="a"/>
    <w:rsid w:val="00923DDF"/>
    <w:pPr>
      <w:autoSpaceDE/>
      <w:autoSpaceDN/>
    </w:pPr>
    <w:rPr>
      <w:rFonts w:hAnsi="宋体" w:cs="宋体"/>
      <w:kern w:val="2"/>
      <w:sz w:val="24"/>
      <w:szCs w:val="24"/>
    </w:rPr>
  </w:style>
  <w:style w:type="paragraph" w:customStyle="1" w:styleId="Af2">
    <w:name w:val="正文 A"/>
    <w:qFormat/>
    <w:rsid w:val="00923DDF"/>
    <w:pPr>
      <w:framePr w:wrap="around" w:hAnchor="text" w:y="1"/>
      <w:widowControl w:val="0"/>
      <w:jc w:val="both"/>
    </w:pPr>
    <w:rPr>
      <w:rFonts w:eastAsia="Arial Unicode MS" w:cs="Arial Unicode MS"/>
      <w:color w:val="000000"/>
      <w:kern w:val="2"/>
      <w:sz w:val="32"/>
      <w:szCs w:val="32"/>
      <w:u w:color="000000"/>
    </w:rPr>
  </w:style>
  <w:style w:type="paragraph" w:customStyle="1" w:styleId="p0">
    <w:name w:val="p0"/>
    <w:basedOn w:val="a"/>
    <w:rsid w:val="00923DDF"/>
    <w:pPr>
      <w:widowControl/>
      <w:autoSpaceDE/>
      <w:autoSpaceDN/>
      <w:spacing w:line="240" w:lineRule="auto"/>
      <w:ind w:firstLineChars="0" w:firstLine="0"/>
    </w:pPr>
    <w:rPr>
      <w:rFonts w:ascii="Times New Roman"/>
      <w:kern w:val="0"/>
      <w:sz w:val="32"/>
      <w:szCs w:val="32"/>
    </w:rPr>
  </w:style>
  <w:style w:type="character" w:styleId="af3">
    <w:name w:val="Strong"/>
    <w:uiPriority w:val="22"/>
    <w:qFormat/>
    <w:rsid w:val="00CD0D8E"/>
    <w:rPr>
      <w:b/>
      <w:bCs/>
    </w:rPr>
  </w:style>
  <w:style w:type="character" w:customStyle="1" w:styleId="1Char1">
    <w:name w:val="标题 1 Char1"/>
    <w:rsid w:val="00C746AA"/>
    <w:rPr>
      <w:rFonts w:ascii="仿宋" w:eastAsia="黑体" w:hAnsi="仿宋" w:cs="仿宋" w:hint="eastAsia"/>
      <w:b/>
      <w:bCs/>
      <w:kern w:val="44"/>
      <w:sz w:val="32"/>
      <w:szCs w:val="44"/>
    </w:rPr>
  </w:style>
  <w:style w:type="character" w:customStyle="1" w:styleId="2Char1">
    <w:name w:val="标题 2 Char1"/>
    <w:rsid w:val="00C746AA"/>
    <w:rPr>
      <w:rFonts w:ascii="楷体" w:eastAsia="楷体" w:hAnsi="等线 Light" w:cs="Times New Roman" w:hint="eastAsia"/>
      <w:b/>
      <w:bCs/>
      <w:sz w:val="32"/>
      <w:szCs w:val="32"/>
    </w:rPr>
  </w:style>
  <w:style w:type="character" w:customStyle="1" w:styleId="3Char1">
    <w:name w:val="标题 3 Char1"/>
    <w:rsid w:val="00C746AA"/>
    <w:rPr>
      <w:rFonts w:ascii="仿宋" w:eastAsia="仿宋" w:hAnsi="仿宋" w:cs="仿宋" w:hint="eastAsia"/>
      <w:bCs/>
      <w:sz w:val="32"/>
      <w:szCs w:val="32"/>
    </w:rPr>
  </w:style>
  <w:style w:type="character" w:customStyle="1" w:styleId="4Char">
    <w:name w:val="标题 4 Char"/>
    <w:link w:val="4"/>
    <w:uiPriority w:val="9"/>
    <w:rsid w:val="00C746AA"/>
    <w:rPr>
      <w:rFonts w:ascii="宋体"/>
      <w:kern w:val="28"/>
      <w:sz w:val="24"/>
      <w:szCs w:val="28"/>
    </w:rPr>
  </w:style>
  <w:style w:type="character" w:customStyle="1" w:styleId="5Char">
    <w:name w:val="标题 5 Char"/>
    <w:link w:val="5"/>
    <w:rsid w:val="00C746AA"/>
    <w:rPr>
      <w:rFonts w:ascii="宋体"/>
      <w:kern w:val="28"/>
      <w:sz w:val="28"/>
      <w:szCs w:val="24"/>
    </w:rPr>
  </w:style>
  <w:style w:type="paragraph" w:styleId="af4">
    <w:name w:val="Body Text Indent"/>
    <w:basedOn w:val="a"/>
    <w:link w:val="Char5"/>
    <w:uiPriority w:val="99"/>
    <w:rsid w:val="00C746AA"/>
    <w:pPr>
      <w:autoSpaceDE/>
      <w:autoSpaceDN/>
      <w:spacing w:after="120"/>
      <w:ind w:leftChars="200" w:left="420"/>
    </w:pPr>
    <w:rPr>
      <w:rFonts w:ascii="仿宋" w:eastAsia="仿宋" w:hAnsi="仿宋" w:cs="等线"/>
      <w:kern w:val="2"/>
      <w:sz w:val="32"/>
      <w:szCs w:val="24"/>
    </w:rPr>
  </w:style>
  <w:style w:type="character" w:customStyle="1" w:styleId="Char5">
    <w:name w:val="正文文本缩进 Char"/>
    <w:link w:val="af4"/>
    <w:uiPriority w:val="99"/>
    <w:rsid w:val="00C746AA"/>
    <w:rPr>
      <w:rFonts w:ascii="仿宋" w:eastAsia="仿宋" w:hAnsi="仿宋" w:cs="等线"/>
      <w:kern w:val="2"/>
      <w:sz w:val="32"/>
      <w:szCs w:val="24"/>
    </w:rPr>
  </w:style>
  <w:style w:type="paragraph" w:styleId="21">
    <w:name w:val="Body Text Indent 2"/>
    <w:basedOn w:val="a"/>
    <w:link w:val="2Char0"/>
    <w:rsid w:val="00C746AA"/>
    <w:pPr>
      <w:autoSpaceDE/>
      <w:autoSpaceDN/>
      <w:spacing w:after="120" w:line="480" w:lineRule="auto"/>
      <w:ind w:leftChars="200" w:left="420"/>
    </w:pPr>
    <w:rPr>
      <w:rFonts w:ascii="仿宋" w:eastAsia="仿宋" w:hAnsi="仿宋" w:cs="等线"/>
      <w:kern w:val="2"/>
      <w:sz w:val="32"/>
      <w:szCs w:val="24"/>
    </w:rPr>
  </w:style>
  <w:style w:type="character" w:customStyle="1" w:styleId="2Char0">
    <w:name w:val="正文文本缩进 2 Char"/>
    <w:link w:val="21"/>
    <w:rsid w:val="00C746AA"/>
    <w:rPr>
      <w:rFonts w:ascii="仿宋" w:eastAsia="仿宋" w:hAnsi="仿宋" w:cs="等线"/>
      <w:kern w:val="2"/>
      <w:sz w:val="32"/>
      <w:szCs w:val="24"/>
    </w:rPr>
  </w:style>
  <w:style w:type="character" w:customStyle="1" w:styleId="Char0">
    <w:name w:val="批注框文本 Char"/>
    <w:link w:val="a5"/>
    <w:uiPriority w:val="99"/>
    <w:rsid w:val="00C746AA"/>
    <w:rPr>
      <w:rFonts w:ascii="宋体"/>
      <w:kern w:val="28"/>
      <w:sz w:val="18"/>
      <w:szCs w:val="18"/>
    </w:rPr>
  </w:style>
  <w:style w:type="character" w:customStyle="1" w:styleId="Char10">
    <w:name w:val="页眉 Char1"/>
    <w:link w:val="a7"/>
    <w:uiPriority w:val="99"/>
    <w:rsid w:val="00C746AA"/>
    <w:rPr>
      <w:rFonts w:ascii="宋体"/>
      <w:kern w:val="28"/>
      <w:sz w:val="18"/>
      <w:szCs w:val="18"/>
    </w:rPr>
  </w:style>
  <w:style w:type="paragraph" w:styleId="af5">
    <w:name w:val="Normal (Web)"/>
    <w:basedOn w:val="a"/>
    <w:uiPriority w:val="99"/>
    <w:unhideWhenUsed/>
    <w:qFormat/>
    <w:rsid w:val="00C746AA"/>
    <w:pPr>
      <w:widowControl/>
      <w:autoSpaceDE/>
      <w:autoSpaceDN/>
      <w:spacing w:before="100" w:beforeAutospacing="1" w:after="100" w:afterAutospacing="1"/>
      <w:ind w:firstLineChars="0" w:firstLine="0"/>
      <w:jc w:val="left"/>
    </w:pPr>
    <w:rPr>
      <w:rFonts w:hAnsi="宋体" w:cs="宋体"/>
      <w:kern w:val="0"/>
      <w:szCs w:val="24"/>
    </w:rPr>
  </w:style>
  <w:style w:type="paragraph" w:styleId="23">
    <w:name w:val="Body Text First Indent 2"/>
    <w:basedOn w:val="af4"/>
    <w:link w:val="2Char2"/>
    <w:uiPriority w:val="99"/>
    <w:rsid w:val="00C746AA"/>
    <w:pPr>
      <w:spacing w:after="0"/>
      <w:ind w:left="0" w:firstLine="420"/>
    </w:pPr>
    <w:rPr>
      <w:rFonts w:ascii="宋体" w:eastAsia="宋体" w:hAnsi="宋体" w:cs="Times New Roman" w:hint="eastAsia"/>
      <w:kern w:val="0"/>
      <w:sz w:val="20"/>
      <w:szCs w:val="20"/>
    </w:rPr>
  </w:style>
  <w:style w:type="character" w:customStyle="1" w:styleId="2Char2">
    <w:name w:val="正文首行缩进 2 Char"/>
    <w:link w:val="23"/>
    <w:uiPriority w:val="99"/>
    <w:rsid w:val="00C746AA"/>
    <w:rPr>
      <w:rFonts w:ascii="宋体" w:eastAsia="仿宋" w:hAnsi="宋体" w:cs="等线"/>
      <w:kern w:val="2"/>
      <w:sz w:val="32"/>
      <w:szCs w:val="24"/>
    </w:rPr>
  </w:style>
  <w:style w:type="table" w:styleId="af6">
    <w:name w:val="Table Grid"/>
    <w:basedOn w:val="a1"/>
    <w:uiPriority w:val="39"/>
    <w:qFormat/>
    <w:rsid w:val="00C746AA"/>
    <w:rPr>
      <w:rFonts w:ascii="等线" w:eastAsia="等线" w:hAnsi="等线" w:cs="等线" w:hint="eastAsia"/>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20"/>
    <w:qFormat/>
    <w:rsid w:val="00C746AA"/>
    <w:rPr>
      <w:i/>
      <w:iCs/>
    </w:rPr>
  </w:style>
  <w:style w:type="paragraph" w:customStyle="1" w:styleId="13">
    <w:name w:val="标题1"/>
    <w:basedOn w:val="a"/>
    <w:rsid w:val="00C746AA"/>
    <w:pPr>
      <w:keepNext/>
      <w:keepLines/>
      <w:tabs>
        <w:tab w:val="num" w:pos="435"/>
      </w:tabs>
      <w:autoSpaceDE/>
      <w:autoSpaceDN/>
      <w:adjustRightInd w:val="0"/>
      <w:spacing w:before="340" w:after="330" w:line="578" w:lineRule="auto"/>
      <w:ind w:left="435" w:hanging="435"/>
      <w:outlineLvl w:val="0"/>
    </w:pPr>
    <w:rPr>
      <w:rFonts w:ascii="仿宋" w:eastAsia="黑体" w:hAnsi="仿宋" w:hint="eastAsia"/>
      <w:b/>
      <w:bCs/>
      <w:kern w:val="44"/>
      <w:sz w:val="32"/>
      <w:szCs w:val="44"/>
    </w:rPr>
  </w:style>
  <w:style w:type="paragraph" w:customStyle="1" w:styleId="msolistparagraph0">
    <w:name w:val="msolistparagraph"/>
    <w:basedOn w:val="a"/>
    <w:rsid w:val="00C746AA"/>
    <w:pPr>
      <w:autoSpaceDE/>
      <w:autoSpaceDN/>
      <w:adjustRightInd w:val="0"/>
      <w:snapToGrid w:val="0"/>
      <w:ind w:firstLine="420"/>
    </w:pPr>
    <w:rPr>
      <w:rFonts w:ascii="仿宋" w:eastAsia="仿宋" w:hAnsi="等线" w:hint="eastAsia"/>
      <w:kern w:val="2"/>
      <w:sz w:val="32"/>
      <w:szCs w:val="22"/>
    </w:rPr>
  </w:style>
  <w:style w:type="table" w:customStyle="1" w:styleId="14">
    <w:name w:val="网格型1"/>
    <w:basedOn w:val="a1"/>
    <w:uiPriority w:val="59"/>
    <w:qFormat/>
    <w:rsid w:val="00C746AA"/>
    <w:rPr>
      <w:rFonts w:ascii="Calibri" w:hAnsi="Calibri" w:hint="eastAsia"/>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投标正文 字符"/>
    <w:link w:val="af9"/>
    <w:rsid w:val="00C746AA"/>
    <w:rPr>
      <w:rFonts w:ascii="Times New Roman" w:eastAsia="宋体" w:hAnsi="Times New Roman" w:cs="Times New Roman" w:hint="default"/>
      <w:sz w:val="24"/>
      <w:szCs w:val="24"/>
    </w:rPr>
  </w:style>
  <w:style w:type="character" w:customStyle="1" w:styleId="Char6">
    <w:name w:val="标题 Char"/>
    <w:aliases w:val="标题3 Char"/>
    <w:rsid w:val="00C746AA"/>
    <w:rPr>
      <w:rFonts w:ascii="等线 Light" w:eastAsia="仿宋" w:hAnsi="等线 Light" w:cs="Times New Roman" w:hint="eastAsia"/>
      <w:bCs/>
      <w:sz w:val="32"/>
      <w:szCs w:val="32"/>
    </w:rPr>
  </w:style>
  <w:style w:type="paragraph" w:customStyle="1" w:styleId="afa">
    <w:name w:val="小注"/>
    <w:basedOn w:val="a"/>
    <w:link w:val="Char7"/>
    <w:qFormat/>
    <w:rsid w:val="00C746AA"/>
    <w:pPr>
      <w:autoSpaceDE/>
      <w:autoSpaceDN/>
      <w:adjustRightInd w:val="0"/>
      <w:snapToGrid w:val="0"/>
      <w:spacing w:line="240" w:lineRule="auto"/>
    </w:pPr>
    <w:rPr>
      <w:rFonts w:ascii="黑体" w:eastAsia="黑体" w:hAnsi="黑体" w:cs="等线"/>
      <w:kern w:val="2"/>
      <w:szCs w:val="24"/>
    </w:rPr>
  </w:style>
  <w:style w:type="character" w:customStyle="1" w:styleId="Char7">
    <w:name w:val="小注 Char"/>
    <w:link w:val="afa"/>
    <w:rsid w:val="00C746AA"/>
    <w:rPr>
      <w:rFonts w:ascii="黑体" w:eastAsia="黑体" w:hAnsi="黑体" w:cs="等线"/>
      <w:kern w:val="2"/>
      <w:sz w:val="28"/>
      <w:szCs w:val="24"/>
    </w:rPr>
  </w:style>
  <w:style w:type="character" w:customStyle="1" w:styleId="15">
    <w:name w:val="未处理的提及1"/>
    <w:uiPriority w:val="99"/>
    <w:unhideWhenUsed/>
    <w:rsid w:val="00C746AA"/>
    <w:rPr>
      <w:color w:val="605E5C"/>
      <w:shd w:val="clear" w:color="auto" w:fill="E1DFDD"/>
    </w:rPr>
  </w:style>
  <w:style w:type="numbering" w:customStyle="1" w:styleId="16">
    <w:name w:val="无列表1"/>
    <w:next w:val="a2"/>
    <w:uiPriority w:val="99"/>
    <w:semiHidden/>
    <w:unhideWhenUsed/>
    <w:rsid w:val="000070DC"/>
  </w:style>
  <w:style w:type="table" w:customStyle="1" w:styleId="24">
    <w:name w:val="网格型2"/>
    <w:basedOn w:val="a1"/>
    <w:next w:val="af6"/>
    <w:uiPriority w:val="39"/>
    <w:qFormat/>
    <w:rsid w:val="000070DC"/>
    <w:rPr>
      <w:rFonts w:ascii="等线" w:eastAsia="等线" w:hAnsi="等线" w:cs="等线" w:hint="eastAsia"/>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sid w:val="000070DC"/>
    <w:rPr>
      <w:rFonts w:ascii="Calibri" w:hAnsi="Calibri" w:hint="eastAsia"/>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Char8"/>
    <w:uiPriority w:val="1"/>
    <w:qFormat/>
    <w:rsid w:val="0024209A"/>
    <w:pPr>
      <w:spacing w:after="120"/>
    </w:pPr>
  </w:style>
  <w:style w:type="character" w:customStyle="1" w:styleId="Char8">
    <w:name w:val="正文文本 Char"/>
    <w:link w:val="afb"/>
    <w:uiPriority w:val="1"/>
    <w:rsid w:val="0024209A"/>
    <w:rPr>
      <w:rFonts w:ascii="宋体"/>
      <w:kern w:val="28"/>
      <w:sz w:val="24"/>
      <w:szCs w:val="28"/>
    </w:rPr>
  </w:style>
  <w:style w:type="paragraph" w:customStyle="1" w:styleId="afc">
    <w:basedOn w:val="a"/>
    <w:next w:val="af1"/>
    <w:uiPriority w:val="34"/>
    <w:qFormat/>
    <w:rsid w:val="00D43255"/>
    <w:pPr>
      <w:widowControl/>
      <w:autoSpaceDE/>
      <w:autoSpaceDN/>
      <w:spacing w:before="246" w:line="240" w:lineRule="auto"/>
      <w:ind w:left="1576" w:firstLineChars="0" w:hanging="752"/>
    </w:pPr>
    <w:rPr>
      <w:rFonts w:eastAsia="宋体" w:hAnsi="宋体" w:cs="宋体"/>
      <w:kern w:val="2"/>
      <w:sz w:val="32"/>
      <w:szCs w:val="24"/>
      <w:lang w:val="zh-CN" w:bidi="zh-CN"/>
    </w:rPr>
  </w:style>
  <w:style w:type="paragraph" w:customStyle="1" w:styleId="TableParagraph">
    <w:name w:val="Table Paragraph"/>
    <w:basedOn w:val="a"/>
    <w:uiPriority w:val="1"/>
    <w:qFormat/>
    <w:rsid w:val="00D43255"/>
    <w:pPr>
      <w:widowControl/>
      <w:autoSpaceDE/>
      <w:autoSpaceDN/>
      <w:spacing w:line="240" w:lineRule="auto"/>
      <w:ind w:firstLineChars="0" w:firstLine="0"/>
      <w:jc w:val="center"/>
    </w:pPr>
    <w:rPr>
      <w:rFonts w:eastAsia="宋体" w:hAnsi="宋体" w:cs="宋体"/>
      <w:kern w:val="2"/>
      <w:sz w:val="32"/>
      <w:szCs w:val="24"/>
      <w:lang w:val="zh-CN" w:bidi="zh-CN"/>
    </w:rPr>
  </w:style>
  <w:style w:type="paragraph" w:styleId="afd">
    <w:name w:val="Title"/>
    <w:basedOn w:val="af1"/>
    <w:next w:val="a"/>
    <w:link w:val="Char11"/>
    <w:uiPriority w:val="10"/>
    <w:qFormat/>
    <w:rsid w:val="00D43255"/>
    <w:pPr>
      <w:widowControl/>
      <w:tabs>
        <w:tab w:val="left" w:pos="1076"/>
        <w:tab w:val="left" w:pos="1077"/>
      </w:tabs>
      <w:autoSpaceDE/>
      <w:autoSpaceDN/>
      <w:spacing w:before="242" w:line="240" w:lineRule="auto"/>
      <w:ind w:left="224" w:firstLineChars="0" w:firstLine="0"/>
      <w:jc w:val="left"/>
    </w:pPr>
    <w:rPr>
      <w:rFonts w:ascii="仿宋" w:eastAsia="仿宋" w:hAnsi="仿宋" w:cs="仿宋"/>
      <w:b/>
      <w:bCs/>
      <w:spacing w:val="31"/>
      <w:kern w:val="2"/>
      <w:sz w:val="32"/>
      <w:szCs w:val="32"/>
      <w:lang w:val="zh-CN" w:bidi="zh-CN"/>
    </w:rPr>
  </w:style>
  <w:style w:type="character" w:customStyle="1" w:styleId="Char11">
    <w:name w:val="标题 Char1"/>
    <w:basedOn w:val="a0"/>
    <w:link w:val="afd"/>
    <w:uiPriority w:val="10"/>
    <w:rsid w:val="00D43255"/>
    <w:rPr>
      <w:rFonts w:ascii="仿宋" w:eastAsia="仿宋" w:hAnsi="仿宋" w:cs="仿宋"/>
      <w:b/>
      <w:bCs/>
      <w:spacing w:val="31"/>
      <w:kern w:val="2"/>
      <w:sz w:val="32"/>
      <w:szCs w:val="32"/>
      <w:lang w:val="zh-CN" w:bidi="zh-CN"/>
    </w:rPr>
  </w:style>
  <w:style w:type="character" w:customStyle="1" w:styleId="Char9">
    <w:name w:val="页眉 Char"/>
    <w:uiPriority w:val="99"/>
    <w:rsid w:val="00D43255"/>
    <w:rPr>
      <w:kern w:val="2"/>
      <w:sz w:val="18"/>
    </w:rPr>
  </w:style>
  <w:style w:type="character" w:customStyle="1" w:styleId="Chara">
    <w:name w:val="页脚 Char"/>
    <w:uiPriority w:val="99"/>
    <w:rsid w:val="00D43255"/>
    <w:rPr>
      <w:kern w:val="2"/>
      <w:sz w:val="18"/>
    </w:rPr>
  </w:style>
  <w:style w:type="paragraph" w:customStyle="1" w:styleId="af9">
    <w:name w:val="投标正文"/>
    <w:basedOn w:val="a"/>
    <w:link w:val="af8"/>
    <w:qFormat/>
    <w:rsid w:val="00D43255"/>
    <w:pPr>
      <w:widowControl/>
      <w:autoSpaceDE/>
      <w:autoSpaceDN/>
      <w:ind w:firstLineChars="0" w:firstLine="0"/>
    </w:pPr>
    <w:rPr>
      <w:rFonts w:ascii="Times New Roman" w:eastAsia="宋体"/>
      <w:kern w:val="0"/>
      <w:sz w:val="24"/>
      <w:szCs w:val="24"/>
    </w:rPr>
  </w:style>
  <w:style w:type="paragraph" w:styleId="afe">
    <w:name w:val="endnote text"/>
    <w:basedOn w:val="a"/>
    <w:link w:val="Charb"/>
    <w:uiPriority w:val="99"/>
    <w:unhideWhenUsed/>
    <w:rsid w:val="00D43255"/>
    <w:pPr>
      <w:widowControl/>
      <w:autoSpaceDE/>
      <w:autoSpaceDN/>
      <w:snapToGrid w:val="0"/>
      <w:spacing w:line="240" w:lineRule="auto"/>
      <w:ind w:firstLineChars="0" w:firstLine="0"/>
      <w:jc w:val="left"/>
    </w:pPr>
    <w:rPr>
      <w:rFonts w:ascii="Times New Roman" w:eastAsia="宋体"/>
      <w:kern w:val="2"/>
      <w:sz w:val="32"/>
      <w:szCs w:val="24"/>
    </w:rPr>
  </w:style>
  <w:style w:type="character" w:customStyle="1" w:styleId="Charb">
    <w:name w:val="尾注文本 Char"/>
    <w:basedOn w:val="a0"/>
    <w:link w:val="afe"/>
    <w:uiPriority w:val="99"/>
    <w:rsid w:val="00D43255"/>
    <w:rPr>
      <w:kern w:val="2"/>
      <w:sz w:val="32"/>
      <w:szCs w:val="24"/>
    </w:rPr>
  </w:style>
  <w:style w:type="paragraph" w:styleId="TOC">
    <w:name w:val="TOC Heading"/>
    <w:basedOn w:val="1"/>
    <w:next w:val="a"/>
    <w:uiPriority w:val="39"/>
    <w:unhideWhenUsed/>
    <w:qFormat/>
    <w:rsid w:val="00D43255"/>
    <w:pPr>
      <w:widowControl/>
      <w:autoSpaceDE/>
      <w:autoSpaceDN/>
      <w:spacing w:before="240" w:beforeAutospacing="0" w:after="0" w:afterAutospacing="0" w:line="259" w:lineRule="auto"/>
      <w:outlineLvl w:val="9"/>
    </w:pPr>
    <w:rPr>
      <w:rFonts w:ascii="等线 Light" w:eastAsia="等线 Light" w:hAnsi="等线 Light"/>
      <w:b w:val="0"/>
      <w:bCs w:val="0"/>
      <w:color w:val="2F5496"/>
      <w:kern w:val="0"/>
      <w:szCs w:val="32"/>
    </w:rPr>
  </w:style>
  <w:style w:type="character" w:customStyle="1" w:styleId="UnresolvedMention">
    <w:name w:val="Unresolved Mention"/>
    <w:uiPriority w:val="99"/>
    <w:semiHidden/>
    <w:unhideWhenUsed/>
    <w:rsid w:val="00D43255"/>
    <w:rPr>
      <w:color w:val="605E5C"/>
      <w:shd w:val="clear" w:color="auto" w:fill="E1DFDD"/>
    </w:rPr>
  </w:style>
  <w:style w:type="character" w:styleId="aff">
    <w:name w:val="FollowedHyperlink"/>
    <w:uiPriority w:val="99"/>
    <w:unhideWhenUsed/>
    <w:rsid w:val="00D43255"/>
    <w:rPr>
      <w:color w:val="954F72"/>
      <w:u w:val="single"/>
    </w:rPr>
  </w:style>
  <w:style w:type="paragraph" w:customStyle="1" w:styleId="msonormal0">
    <w:name w:val="msonormal"/>
    <w:basedOn w:val="a"/>
    <w:rsid w:val="00D43255"/>
    <w:pPr>
      <w:widowControl/>
      <w:autoSpaceDE/>
      <w:autoSpaceDN/>
      <w:spacing w:before="100" w:beforeAutospacing="1" w:after="100" w:afterAutospacing="1" w:line="240" w:lineRule="auto"/>
      <w:ind w:firstLineChars="0" w:firstLine="0"/>
      <w:jc w:val="left"/>
    </w:pPr>
    <w:rPr>
      <w:rFonts w:eastAsia="宋体" w:hAnsi="宋体" w:cs="宋体"/>
      <w:kern w:val="0"/>
      <w:sz w:val="24"/>
      <w:szCs w:val="24"/>
    </w:rPr>
  </w:style>
  <w:style w:type="paragraph" w:customStyle="1" w:styleId="font5">
    <w:name w:val="font5"/>
    <w:basedOn w:val="a"/>
    <w:rsid w:val="00D43255"/>
    <w:pPr>
      <w:widowControl/>
      <w:autoSpaceDE/>
      <w:autoSpaceDN/>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
    <w:rsid w:val="00D43255"/>
    <w:pPr>
      <w:widowControl/>
      <w:autoSpaceDE/>
      <w:autoSpaceDN/>
      <w:spacing w:before="100" w:beforeAutospacing="1" w:after="100" w:afterAutospacing="1" w:line="240" w:lineRule="auto"/>
      <w:ind w:firstLineChars="0" w:firstLine="0"/>
      <w:jc w:val="left"/>
    </w:pPr>
    <w:rPr>
      <w:rFonts w:ascii="仿宋" w:eastAsia="仿宋" w:hAnsi="仿宋" w:cs="宋体"/>
      <w:color w:val="000000"/>
      <w:kern w:val="0"/>
      <w:sz w:val="36"/>
      <w:szCs w:val="36"/>
    </w:rPr>
  </w:style>
  <w:style w:type="paragraph" w:customStyle="1" w:styleId="font7">
    <w:name w:val="font7"/>
    <w:basedOn w:val="a"/>
    <w:rsid w:val="00D43255"/>
    <w:pPr>
      <w:widowControl/>
      <w:autoSpaceDE/>
      <w:autoSpaceDN/>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71">
    <w:name w:val="xl71"/>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72">
    <w:name w:val="xl72"/>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73">
    <w:name w:val="xl73"/>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rFonts w:ascii="仿宋" w:eastAsia="仿宋" w:hAnsi="仿宋" w:cs="宋体"/>
      <w:kern w:val="0"/>
      <w:sz w:val="36"/>
      <w:szCs w:val="36"/>
    </w:rPr>
  </w:style>
  <w:style w:type="paragraph" w:customStyle="1" w:styleId="xl74">
    <w:name w:val="xl74"/>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75">
    <w:name w:val="xl75"/>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rFonts w:ascii="仿宋" w:eastAsia="仿宋" w:hAnsi="仿宋" w:cs="宋体"/>
      <w:kern w:val="0"/>
      <w:sz w:val="36"/>
      <w:szCs w:val="36"/>
    </w:rPr>
  </w:style>
  <w:style w:type="paragraph" w:customStyle="1" w:styleId="xl76">
    <w:name w:val="xl76"/>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77">
    <w:name w:val="xl77"/>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78">
    <w:name w:val="xl78"/>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79">
    <w:name w:val="xl79"/>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80">
    <w:name w:val="xl80"/>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rFonts w:ascii="仿宋" w:eastAsia="仿宋" w:hAnsi="仿宋" w:cs="宋体"/>
      <w:kern w:val="0"/>
      <w:sz w:val="36"/>
      <w:szCs w:val="36"/>
    </w:rPr>
  </w:style>
  <w:style w:type="paragraph" w:customStyle="1" w:styleId="xl81">
    <w:name w:val="xl81"/>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82">
    <w:name w:val="xl82"/>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83">
    <w:name w:val="xl83"/>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84">
    <w:name w:val="xl84"/>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85">
    <w:name w:val="xl85"/>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86">
    <w:name w:val="xl86"/>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color w:val="FF0000"/>
      <w:kern w:val="0"/>
      <w:sz w:val="36"/>
      <w:szCs w:val="36"/>
    </w:rPr>
  </w:style>
  <w:style w:type="paragraph" w:customStyle="1" w:styleId="xl87">
    <w:name w:val="xl87"/>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88">
    <w:name w:val="xl88"/>
    <w:basedOn w:val="a"/>
    <w:rsid w:val="00D432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left"/>
    </w:pPr>
    <w:rPr>
      <w:rFonts w:ascii="仿宋" w:eastAsia="仿宋" w:hAnsi="仿宋" w:cs="宋体"/>
      <w:kern w:val="0"/>
      <w:sz w:val="36"/>
      <w:szCs w:val="36"/>
    </w:rPr>
  </w:style>
  <w:style w:type="paragraph" w:customStyle="1" w:styleId="xl89">
    <w:name w:val="xl89"/>
    <w:basedOn w:val="a"/>
    <w:rsid w:val="00D43255"/>
    <w:pPr>
      <w:widowControl/>
      <w:pBdr>
        <w:top w:val="single" w:sz="4" w:space="0" w:color="auto"/>
        <w:left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90">
    <w:name w:val="xl90"/>
    <w:basedOn w:val="a"/>
    <w:rsid w:val="00D43255"/>
    <w:pPr>
      <w:widowControl/>
      <w:pBdr>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91">
    <w:name w:val="xl91"/>
    <w:basedOn w:val="a"/>
    <w:rsid w:val="00D43255"/>
    <w:pPr>
      <w:widowControl/>
      <w:pBdr>
        <w:top w:val="single" w:sz="4" w:space="0" w:color="auto"/>
        <w:left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customStyle="1" w:styleId="xl92">
    <w:name w:val="xl92"/>
    <w:basedOn w:val="a"/>
    <w:rsid w:val="00D43255"/>
    <w:pPr>
      <w:widowControl/>
      <w:pBdr>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cs="宋体"/>
      <w:kern w:val="0"/>
      <w:sz w:val="36"/>
      <w:szCs w:val="36"/>
    </w:rPr>
  </w:style>
  <w:style w:type="paragraph" w:styleId="HTML">
    <w:name w:val="HTML Preformatted"/>
    <w:basedOn w:val="a"/>
    <w:link w:val="HTMLChar"/>
    <w:uiPriority w:val="99"/>
    <w:unhideWhenUsed/>
    <w:qFormat/>
    <w:rsid w:val="00D432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tLeast"/>
      <w:ind w:firstLineChars="0" w:firstLine="0"/>
      <w:jc w:val="left"/>
    </w:pPr>
    <w:rPr>
      <w:rFonts w:hAnsi="宋体" w:cs="宋体"/>
      <w:spacing w:val="-6"/>
      <w:kern w:val="0"/>
      <w:sz w:val="24"/>
      <w:szCs w:val="20"/>
    </w:rPr>
  </w:style>
  <w:style w:type="character" w:customStyle="1" w:styleId="HTML0">
    <w:name w:val="HTML 预设格式 字符"/>
    <w:basedOn w:val="a0"/>
    <w:uiPriority w:val="99"/>
    <w:rsid w:val="00D43255"/>
    <w:rPr>
      <w:rFonts w:ascii="Courier New" w:eastAsia="仿宋_GB2312" w:hAnsi="Courier New" w:cs="Courier New"/>
      <w:kern w:val="28"/>
    </w:rPr>
  </w:style>
  <w:style w:type="character" w:customStyle="1" w:styleId="HTMLChar">
    <w:name w:val="HTML 预设格式 Char"/>
    <w:link w:val="HTML"/>
    <w:uiPriority w:val="99"/>
    <w:locked/>
    <w:rsid w:val="00D43255"/>
    <w:rPr>
      <w:rFonts w:ascii="宋体" w:eastAsia="仿宋_GB2312" w:hAnsi="宋体" w:cs="宋体"/>
      <w:spacing w:val="-6"/>
      <w:sz w:val="24"/>
    </w:rPr>
  </w:style>
  <w:style w:type="character" w:customStyle="1" w:styleId="bjh-p">
    <w:name w:val="bjh-p"/>
    <w:rsid w:val="00D43255"/>
  </w:style>
</w:styles>
</file>

<file path=word/webSettings.xml><?xml version="1.0" encoding="utf-8"?>
<w:webSettings xmlns:r="http://schemas.openxmlformats.org/officeDocument/2006/relationships" xmlns:w="http://schemas.openxmlformats.org/wordprocessingml/2006/main">
  <w:divs>
    <w:div w:id="11611334">
      <w:bodyDiv w:val="1"/>
      <w:marLeft w:val="0"/>
      <w:marRight w:val="0"/>
      <w:marTop w:val="0"/>
      <w:marBottom w:val="0"/>
      <w:divBdr>
        <w:top w:val="none" w:sz="0" w:space="0" w:color="auto"/>
        <w:left w:val="none" w:sz="0" w:space="0" w:color="auto"/>
        <w:bottom w:val="none" w:sz="0" w:space="0" w:color="auto"/>
        <w:right w:val="none" w:sz="0" w:space="0" w:color="auto"/>
      </w:divBdr>
    </w:div>
    <w:div w:id="180360747">
      <w:bodyDiv w:val="1"/>
      <w:marLeft w:val="0"/>
      <w:marRight w:val="0"/>
      <w:marTop w:val="0"/>
      <w:marBottom w:val="0"/>
      <w:divBdr>
        <w:top w:val="none" w:sz="0" w:space="0" w:color="auto"/>
        <w:left w:val="none" w:sz="0" w:space="0" w:color="auto"/>
        <w:bottom w:val="none" w:sz="0" w:space="0" w:color="auto"/>
        <w:right w:val="none" w:sz="0" w:space="0" w:color="auto"/>
      </w:divBdr>
      <w:divsChild>
        <w:div w:id="990987723">
          <w:marLeft w:val="446"/>
          <w:marRight w:val="0"/>
          <w:marTop w:val="0"/>
          <w:marBottom w:val="0"/>
          <w:divBdr>
            <w:top w:val="none" w:sz="0" w:space="0" w:color="auto"/>
            <w:left w:val="none" w:sz="0" w:space="0" w:color="auto"/>
            <w:bottom w:val="none" w:sz="0" w:space="0" w:color="auto"/>
            <w:right w:val="none" w:sz="0" w:space="0" w:color="auto"/>
          </w:divBdr>
        </w:div>
      </w:divsChild>
    </w:div>
    <w:div w:id="187568270">
      <w:bodyDiv w:val="1"/>
      <w:marLeft w:val="0"/>
      <w:marRight w:val="0"/>
      <w:marTop w:val="0"/>
      <w:marBottom w:val="0"/>
      <w:divBdr>
        <w:top w:val="none" w:sz="0" w:space="0" w:color="auto"/>
        <w:left w:val="none" w:sz="0" w:space="0" w:color="auto"/>
        <w:bottom w:val="none" w:sz="0" w:space="0" w:color="auto"/>
        <w:right w:val="none" w:sz="0" w:space="0" w:color="auto"/>
      </w:divBdr>
      <w:divsChild>
        <w:div w:id="1591543732">
          <w:marLeft w:val="446"/>
          <w:marRight w:val="0"/>
          <w:marTop w:val="0"/>
          <w:marBottom w:val="0"/>
          <w:divBdr>
            <w:top w:val="none" w:sz="0" w:space="0" w:color="auto"/>
            <w:left w:val="none" w:sz="0" w:space="0" w:color="auto"/>
            <w:bottom w:val="none" w:sz="0" w:space="0" w:color="auto"/>
            <w:right w:val="none" w:sz="0" w:space="0" w:color="auto"/>
          </w:divBdr>
        </w:div>
      </w:divsChild>
    </w:div>
    <w:div w:id="251090442">
      <w:bodyDiv w:val="1"/>
      <w:marLeft w:val="0"/>
      <w:marRight w:val="0"/>
      <w:marTop w:val="0"/>
      <w:marBottom w:val="0"/>
      <w:divBdr>
        <w:top w:val="none" w:sz="0" w:space="0" w:color="auto"/>
        <w:left w:val="none" w:sz="0" w:space="0" w:color="auto"/>
        <w:bottom w:val="none" w:sz="0" w:space="0" w:color="auto"/>
        <w:right w:val="none" w:sz="0" w:space="0" w:color="auto"/>
      </w:divBdr>
    </w:div>
    <w:div w:id="571620596">
      <w:bodyDiv w:val="1"/>
      <w:marLeft w:val="0"/>
      <w:marRight w:val="0"/>
      <w:marTop w:val="0"/>
      <w:marBottom w:val="0"/>
      <w:divBdr>
        <w:top w:val="none" w:sz="0" w:space="0" w:color="auto"/>
        <w:left w:val="none" w:sz="0" w:space="0" w:color="auto"/>
        <w:bottom w:val="none" w:sz="0" w:space="0" w:color="auto"/>
        <w:right w:val="none" w:sz="0" w:space="0" w:color="auto"/>
      </w:divBdr>
    </w:div>
    <w:div w:id="586689353">
      <w:bodyDiv w:val="1"/>
      <w:marLeft w:val="0"/>
      <w:marRight w:val="0"/>
      <w:marTop w:val="0"/>
      <w:marBottom w:val="0"/>
      <w:divBdr>
        <w:top w:val="none" w:sz="0" w:space="0" w:color="auto"/>
        <w:left w:val="none" w:sz="0" w:space="0" w:color="auto"/>
        <w:bottom w:val="none" w:sz="0" w:space="0" w:color="auto"/>
        <w:right w:val="none" w:sz="0" w:space="0" w:color="auto"/>
      </w:divBdr>
      <w:divsChild>
        <w:div w:id="644744223">
          <w:marLeft w:val="446"/>
          <w:marRight w:val="0"/>
          <w:marTop w:val="0"/>
          <w:marBottom w:val="0"/>
          <w:divBdr>
            <w:top w:val="none" w:sz="0" w:space="0" w:color="auto"/>
            <w:left w:val="none" w:sz="0" w:space="0" w:color="auto"/>
            <w:bottom w:val="none" w:sz="0" w:space="0" w:color="auto"/>
            <w:right w:val="none" w:sz="0" w:space="0" w:color="auto"/>
          </w:divBdr>
        </w:div>
      </w:divsChild>
    </w:div>
    <w:div w:id="632172777">
      <w:bodyDiv w:val="1"/>
      <w:marLeft w:val="0"/>
      <w:marRight w:val="0"/>
      <w:marTop w:val="0"/>
      <w:marBottom w:val="0"/>
      <w:divBdr>
        <w:top w:val="none" w:sz="0" w:space="0" w:color="auto"/>
        <w:left w:val="none" w:sz="0" w:space="0" w:color="auto"/>
        <w:bottom w:val="none" w:sz="0" w:space="0" w:color="auto"/>
        <w:right w:val="none" w:sz="0" w:space="0" w:color="auto"/>
      </w:divBdr>
      <w:divsChild>
        <w:div w:id="1403066971">
          <w:marLeft w:val="446"/>
          <w:marRight w:val="0"/>
          <w:marTop w:val="0"/>
          <w:marBottom w:val="0"/>
          <w:divBdr>
            <w:top w:val="none" w:sz="0" w:space="0" w:color="auto"/>
            <w:left w:val="none" w:sz="0" w:space="0" w:color="auto"/>
            <w:bottom w:val="none" w:sz="0" w:space="0" w:color="auto"/>
            <w:right w:val="none" w:sz="0" w:space="0" w:color="auto"/>
          </w:divBdr>
        </w:div>
      </w:divsChild>
    </w:div>
    <w:div w:id="1053430652">
      <w:bodyDiv w:val="1"/>
      <w:marLeft w:val="0"/>
      <w:marRight w:val="0"/>
      <w:marTop w:val="0"/>
      <w:marBottom w:val="0"/>
      <w:divBdr>
        <w:top w:val="none" w:sz="0" w:space="0" w:color="auto"/>
        <w:left w:val="none" w:sz="0" w:space="0" w:color="auto"/>
        <w:bottom w:val="none" w:sz="0" w:space="0" w:color="auto"/>
        <w:right w:val="none" w:sz="0" w:space="0" w:color="auto"/>
      </w:divBdr>
      <w:divsChild>
        <w:div w:id="623659345">
          <w:marLeft w:val="446"/>
          <w:marRight w:val="0"/>
          <w:marTop w:val="0"/>
          <w:marBottom w:val="0"/>
          <w:divBdr>
            <w:top w:val="none" w:sz="0" w:space="0" w:color="auto"/>
            <w:left w:val="none" w:sz="0" w:space="0" w:color="auto"/>
            <w:bottom w:val="none" w:sz="0" w:space="0" w:color="auto"/>
            <w:right w:val="none" w:sz="0" w:space="0" w:color="auto"/>
          </w:divBdr>
        </w:div>
      </w:divsChild>
    </w:div>
    <w:div w:id="1122575228">
      <w:bodyDiv w:val="1"/>
      <w:marLeft w:val="0"/>
      <w:marRight w:val="0"/>
      <w:marTop w:val="0"/>
      <w:marBottom w:val="0"/>
      <w:divBdr>
        <w:top w:val="none" w:sz="0" w:space="0" w:color="auto"/>
        <w:left w:val="none" w:sz="0" w:space="0" w:color="auto"/>
        <w:bottom w:val="none" w:sz="0" w:space="0" w:color="auto"/>
        <w:right w:val="none" w:sz="0" w:space="0" w:color="auto"/>
      </w:divBdr>
    </w:div>
    <w:div w:id="1263880078">
      <w:bodyDiv w:val="1"/>
      <w:marLeft w:val="0"/>
      <w:marRight w:val="0"/>
      <w:marTop w:val="0"/>
      <w:marBottom w:val="0"/>
      <w:divBdr>
        <w:top w:val="none" w:sz="0" w:space="0" w:color="auto"/>
        <w:left w:val="none" w:sz="0" w:space="0" w:color="auto"/>
        <w:bottom w:val="none" w:sz="0" w:space="0" w:color="auto"/>
        <w:right w:val="none" w:sz="0" w:space="0" w:color="auto"/>
      </w:divBdr>
      <w:divsChild>
        <w:div w:id="1059478927">
          <w:marLeft w:val="446"/>
          <w:marRight w:val="0"/>
          <w:marTop w:val="0"/>
          <w:marBottom w:val="0"/>
          <w:divBdr>
            <w:top w:val="none" w:sz="0" w:space="0" w:color="auto"/>
            <w:left w:val="none" w:sz="0" w:space="0" w:color="auto"/>
            <w:bottom w:val="none" w:sz="0" w:space="0" w:color="auto"/>
            <w:right w:val="none" w:sz="0" w:space="0" w:color="auto"/>
          </w:divBdr>
        </w:div>
      </w:divsChild>
    </w:div>
    <w:div w:id="1335381053">
      <w:bodyDiv w:val="1"/>
      <w:marLeft w:val="0"/>
      <w:marRight w:val="0"/>
      <w:marTop w:val="0"/>
      <w:marBottom w:val="0"/>
      <w:divBdr>
        <w:top w:val="none" w:sz="0" w:space="0" w:color="auto"/>
        <w:left w:val="none" w:sz="0" w:space="0" w:color="auto"/>
        <w:bottom w:val="none" w:sz="0" w:space="0" w:color="auto"/>
        <w:right w:val="none" w:sz="0" w:space="0" w:color="auto"/>
      </w:divBdr>
    </w:div>
    <w:div w:id="1792934486">
      <w:bodyDiv w:val="1"/>
      <w:marLeft w:val="0"/>
      <w:marRight w:val="0"/>
      <w:marTop w:val="0"/>
      <w:marBottom w:val="0"/>
      <w:divBdr>
        <w:top w:val="none" w:sz="0" w:space="0" w:color="auto"/>
        <w:left w:val="none" w:sz="0" w:space="0" w:color="auto"/>
        <w:bottom w:val="none" w:sz="0" w:space="0" w:color="auto"/>
        <w:right w:val="none" w:sz="0" w:space="0" w:color="auto"/>
      </w:divBdr>
    </w:div>
    <w:div w:id="1810510822">
      <w:bodyDiv w:val="1"/>
      <w:marLeft w:val="0"/>
      <w:marRight w:val="0"/>
      <w:marTop w:val="0"/>
      <w:marBottom w:val="0"/>
      <w:divBdr>
        <w:top w:val="none" w:sz="0" w:space="0" w:color="auto"/>
        <w:left w:val="none" w:sz="0" w:space="0" w:color="auto"/>
        <w:bottom w:val="none" w:sz="0" w:space="0" w:color="auto"/>
        <w:right w:val="none" w:sz="0" w:space="0" w:color="auto"/>
      </w:divBdr>
      <w:divsChild>
        <w:div w:id="320083005">
          <w:marLeft w:val="446"/>
          <w:marRight w:val="0"/>
          <w:marTop w:val="0"/>
          <w:marBottom w:val="0"/>
          <w:divBdr>
            <w:top w:val="none" w:sz="0" w:space="0" w:color="auto"/>
            <w:left w:val="none" w:sz="0" w:space="0" w:color="auto"/>
            <w:bottom w:val="none" w:sz="0" w:space="0" w:color="auto"/>
            <w:right w:val="none" w:sz="0" w:space="0" w:color="auto"/>
          </w:divBdr>
        </w:div>
      </w:divsChild>
    </w:div>
    <w:div w:id="1869223681">
      <w:bodyDiv w:val="1"/>
      <w:marLeft w:val="0"/>
      <w:marRight w:val="0"/>
      <w:marTop w:val="0"/>
      <w:marBottom w:val="0"/>
      <w:divBdr>
        <w:top w:val="none" w:sz="0" w:space="0" w:color="auto"/>
        <w:left w:val="none" w:sz="0" w:space="0" w:color="auto"/>
        <w:bottom w:val="none" w:sz="0" w:space="0" w:color="auto"/>
        <w:right w:val="none" w:sz="0" w:space="0" w:color="auto"/>
      </w:divBdr>
    </w:div>
    <w:div w:id="1892841905">
      <w:bodyDiv w:val="1"/>
      <w:marLeft w:val="0"/>
      <w:marRight w:val="0"/>
      <w:marTop w:val="0"/>
      <w:marBottom w:val="0"/>
      <w:divBdr>
        <w:top w:val="none" w:sz="0" w:space="0" w:color="auto"/>
        <w:left w:val="none" w:sz="0" w:space="0" w:color="auto"/>
        <w:bottom w:val="none" w:sz="0" w:space="0" w:color="auto"/>
        <w:right w:val="none" w:sz="0" w:space="0" w:color="auto"/>
      </w:divBdr>
    </w:div>
    <w:div w:id="2018576808">
      <w:bodyDiv w:val="1"/>
      <w:marLeft w:val="0"/>
      <w:marRight w:val="0"/>
      <w:marTop w:val="0"/>
      <w:marBottom w:val="0"/>
      <w:divBdr>
        <w:top w:val="none" w:sz="0" w:space="0" w:color="auto"/>
        <w:left w:val="none" w:sz="0" w:space="0" w:color="auto"/>
        <w:bottom w:val="none" w:sz="0" w:space="0" w:color="auto"/>
        <w:right w:val="none" w:sz="0" w:space="0" w:color="auto"/>
      </w:divBdr>
    </w:div>
    <w:div w:id="2127505327">
      <w:bodyDiv w:val="1"/>
      <w:marLeft w:val="0"/>
      <w:marRight w:val="0"/>
      <w:marTop w:val="0"/>
      <w:marBottom w:val="0"/>
      <w:divBdr>
        <w:top w:val="none" w:sz="0" w:space="0" w:color="auto"/>
        <w:left w:val="none" w:sz="0" w:space="0" w:color="auto"/>
        <w:bottom w:val="none" w:sz="0" w:space="0" w:color="auto"/>
        <w:right w:val="none" w:sz="0" w:space="0" w:color="auto"/>
      </w:divBdr>
    </w:div>
    <w:div w:id="2135521755">
      <w:bodyDiv w:val="1"/>
      <w:marLeft w:val="0"/>
      <w:marRight w:val="0"/>
      <w:marTop w:val="0"/>
      <w:marBottom w:val="0"/>
      <w:divBdr>
        <w:top w:val="none" w:sz="0" w:space="0" w:color="auto"/>
        <w:left w:val="none" w:sz="0" w:space="0" w:color="auto"/>
        <w:bottom w:val="none" w:sz="0" w:space="0" w:color="auto"/>
        <w:right w:val="none" w:sz="0" w:space="0" w:color="auto"/>
      </w:divBdr>
      <w:divsChild>
        <w:div w:id="1875993710">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093E-DC84-46CB-877A-F76E2002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17</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修编背景及意义</dc:title>
  <dc:subject/>
  <dc:creator>XQI</dc:creator>
  <cp:keywords/>
  <cp:lastModifiedBy>Administrator</cp:lastModifiedBy>
  <cp:revision>37</cp:revision>
  <cp:lastPrinted>2022-11-15T07:52:00Z</cp:lastPrinted>
  <dcterms:created xsi:type="dcterms:W3CDTF">2022-11-21T08:22:00Z</dcterms:created>
  <dcterms:modified xsi:type="dcterms:W3CDTF">2024-02-28T08:25:00Z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31FB419231494909ADF81FDB5DBB361B</vt:lpwstr>
  </property>
</Properties>
</file>