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Style w:val="6"/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 w:bidi="ar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688"/>
        <w:gridCol w:w="2622"/>
        <w:gridCol w:w="1311"/>
        <w:gridCol w:w="1311"/>
        <w:gridCol w:w="1229"/>
        <w:gridCol w:w="1508"/>
        <w:gridCol w:w="3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lang w:val="en-US" w:eastAsia="zh-CN" w:bidi="ar"/>
              </w:rPr>
              <w:t>市管道路调整为区管道路明细表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59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道路名称</w:t>
            </w: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起止地点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长度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面积（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1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调整情况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合计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车行道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人行道</w:t>
            </w:r>
          </w:p>
        </w:tc>
        <w:tc>
          <w:tcPr>
            <w:tcW w:w="1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西湖道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玉泉路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75666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52543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23123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调整为南开区区管道路，道路等级为次干路。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红磡大道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玉泉路－西湖村大街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6820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3881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调整为南开区区管道路，道路等级为次干路。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双峰道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西湖村大街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卫津路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7080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调整为南开区区管道路，道路等级为次干路。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子牙河北路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西河桥桥下辅路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天河桥主桥桥下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32590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4545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调整为红桥区区管道路，道路等级为次干路。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天山北路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凤山道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卫国道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23207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7146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调整为河东区区管道路，道路等级调整为次干路。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大直沽中路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津塘路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海河东路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37719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13217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调整为河东区区管道路，道路等级调整为次干路。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Style w:val="8"/>
                <w:rFonts w:hint="default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注：道路设施量最终以现场核实确认量为准。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MjJkM2YwOTljM2M5MDE3ZGFhYWYxMGY4NzkzMDIifQ=="/>
  </w:docVars>
  <w:rsids>
    <w:rsidRoot w:val="00000000"/>
    <w:rsid w:val="64B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00" w:lineRule="exact"/>
      <w:ind w:firstLine="630"/>
    </w:pPr>
  </w:style>
  <w:style w:type="character" w:customStyle="1" w:styleId="6">
    <w:name w:val="font6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2023-02-23T02:59:06Z</dcterms:created>
  <dc:creator>dell</dc:creator>
  <cp:lastModifiedBy>dell</cp:lastModifiedBy>
  <dcterms:modified xsi:type="dcterms:W3CDTF">2023-02-23T02:59:56Z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E17C4699A45D4635B29795B0E6C184B4</vt:lpwstr>
  </property>
</Properties>
</file>