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</w:pPr>
      <w:r>
        <w:rPr>
          <w:rFonts w:ascii="方正小标宋_GBK" w:hAnsi="方正小标宋_GBK" w:eastAsia="方正小标宋_GBK" w:cs="方正小标宋_GBK"/>
          <w:color w:val="000000"/>
          <w:sz w:val="52"/>
        </w:rPr>
        <w:t xml:space="preserve"> </w:t>
      </w:r>
    </w:p>
    <w:p>
      <w:pPr>
        <w:jc w:val="center"/>
      </w:pPr>
      <w:r>
        <w:rPr>
          <w:rFonts w:ascii="方正小标宋_GBK" w:hAnsi="方正小标宋_GBK" w:eastAsia="方正小标宋_GBK" w:cs="方正小标宋_GBK"/>
          <w:color w:val="000000"/>
          <w:sz w:val="52"/>
        </w:rPr>
        <w:t xml:space="preserve"> </w:t>
      </w:r>
    </w:p>
    <w:p>
      <w:pPr>
        <w:jc w:val="center"/>
        <w:rPr>
          <w:rFonts w:ascii="方正小标宋_GBK" w:hAnsi="方正小标宋_GBK" w:eastAsia="方正小标宋_GBK" w:cs="方正小标宋_GBK"/>
          <w:color w:val="000000"/>
          <w:sz w:val="52"/>
        </w:rPr>
      </w:pPr>
    </w:p>
    <w:p>
      <w:pPr>
        <w:jc w:val="center"/>
        <w:rPr>
          <w:rFonts w:ascii="方正小标宋_GBK" w:hAnsi="方正小标宋_GBK" w:eastAsia="方正小标宋_GBK" w:cs="方正小标宋_GBK"/>
          <w:color w:val="000000"/>
          <w:sz w:val="52"/>
        </w:rPr>
      </w:pPr>
    </w:p>
    <w:p>
      <w:pPr>
        <w:jc w:val="center"/>
        <w:rPr>
          <w:rFonts w:ascii="方正小标宋_GBK" w:hAnsi="方正小标宋_GBK" w:eastAsia="方正小标宋_GBK" w:cs="方正小标宋_GBK"/>
          <w:color w:val="000000"/>
          <w:sz w:val="52"/>
        </w:rPr>
      </w:pPr>
    </w:p>
    <w:p>
      <w:pPr>
        <w:jc w:val="center"/>
      </w:pPr>
      <w:r>
        <w:rPr>
          <w:rFonts w:ascii="方正小标宋_GBK" w:hAnsi="方正小标宋_GBK" w:eastAsia="方正小标宋_GBK" w:cs="方正小标宋_GBK"/>
          <w:color w:val="000000"/>
          <w:sz w:val="52"/>
        </w:rPr>
        <w:t xml:space="preserve"> </w:t>
      </w:r>
    </w:p>
    <w:p>
      <w:pPr>
        <w:jc w:val="center"/>
        <w:rPr>
          <w:rFonts w:eastAsia="方正小标宋简体"/>
          <w:sz w:val="22"/>
          <w:szCs w:val="22"/>
        </w:rPr>
      </w:pPr>
      <w:r>
        <w:rPr>
          <w:rFonts w:eastAsia="方正小标宋简体"/>
          <w:color w:val="000000"/>
          <w:sz w:val="56"/>
          <w:szCs w:val="22"/>
          <w:lang w:eastAsia="zh-CN"/>
        </w:rPr>
        <w:t>项目支出绩效目标表</w:t>
      </w:r>
    </w:p>
    <w:p>
      <w:pPr>
        <w:jc w:val="center"/>
        <w:rPr>
          <w:rFonts w:eastAsia="方正小标宋简体"/>
          <w:sz w:val="52"/>
          <w:szCs w:val="52"/>
        </w:rPr>
      </w:pPr>
      <w:r>
        <w:rPr>
          <w:rFonts w:eastAsia="方正小标宋简体"/>
          <w:color w:val="000000"/>
          <w:sz w:val="52"/>
          <w:szCs w:val="52"/>
        </w:rPr>
        <w:t>（</w:t>
      </w:r>
      <w:r>
        <w:rPr>
          <w:rFonts w:eastAsia="方正小标宋简体"/>
          <w:color w:val="000000"/>
          <w:sz w:val="52"/>
          <w:szCs w:val="52"/>
          <w:lang w:eastAsia="zh-CN"/>
        </w:rPr>
        <w:t>202</w:t>
      </w:r>
      <w:r>
        <w:rPr>
          <w:rFonts w:hint="eastAsia" w:eastAsia="方正小标宋简体"/>
          <w:color w:val="000000"/>
          <w:sz w:val="52"/>
          <w:szCs w:val="52"/>
          <w:lang w:val="en-US" w:eastAsia="zh-CN"/>
        </w:rPr>
        <w:t>4</w:t>
      </w:r>
      <w:r>
        <w:rPr>
          <w:rFonts w:eastAsia="方正小标宋简体"/>
          <w:color w:val="000000"/>
          <w:sz w:val="52"/>
          <w:szCs w:val="52"/>
          <w:lang w:eastAsia="zh-CN"/>
        </w:rPr>
        <w:t>年</w:t>
      </w:r>
      <w:r>
        <w:rPr>
          <w:rFonts w:eastAsia="方正小标宋简体"/>
          <w:color w:val="000000"/>
          <w:sz w:val="52"/>
          <w:szCs w:val="52"/>
        </w:rPr>
        <w:t>）</w:t>
      </w:r>
    </w:p>
    <w:p>
      <w:pPr>
        <w:jc w:val="center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jc w:val="center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jc w:val="center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jc w:val="center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jc w:val="center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jc w:val="center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jc w:val="center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jc w:val="center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jc w:val="center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jc w:val="center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jc w:val="center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jc w:val="center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jc w:val="center"/>
        <w:sectPr>
          <w:pgSz w:w="11900" w:h="16840"/>
          <w:pgMar w:top="1984" w:right="1304" w:bottom="1134" w:left="1304" w:header="720" w:footer="720" w:gutter="0"/>
          <w:cols w:space="720" w:num="1"/>
          <w:titlePg/>
        </w:sectPr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jc w:val="both"/>
      </w:pPr>
      <w:r>
        <w:rPr>
          <w:rFonts w:ascii="方正小标宋_GBK" w:hAnsi="方正小标宋_GBK" w:eastAsia="方正小标宋_GBK" w:cs="方正小标宋_GBK"/>
          <w:color w:val="000000"/>
          <w:sz w:val="36"/>
        </w:rPr>
        <w:t xml:space="preserve"> </w:t>
      </w:r>
    </w:p>
    <w:p>
      <w:pPr>
        <w:jc w:val="center"/>
        <w:outlineLvl w:val="0"/>
        <w:rPr>
          <w:rFonts w:ascii="黑体" w:hAnsi="黑体" w:eastAsia="黑体"/>
        </w:rPr>
      </w:pPr>
      <w:r>
        <w:rPr>
          <w:rFonts w:ascii="黑体" w:hAnsi="黑体" w:eastAsia="黑体" w:cs="方正小标宋_GBK"/>
          <w:color w:val="000000"/>
          <w:sz w:val="36"/>
        </w:rPr>
        <w:t>目    录</w:t>
      </w:r>
    </w:p>
    <w:p>
      <w:pPr>
        <w:jc w:val="center"/>
      </w:pPr>
      <w:r>
        <w:rPr>
          <w:rFonts w:ascii="方正小标宋_GBK" w:hAnsi="方正小标宋_GBK" w:eastAsia="方正小标宋_GBK" w:cs="方正小标宋_GBK"/>
          <w:color w:val="000000"/>
          <w:sz w:val="30"/>
        </w:rPr>
        <w:t xml:space="preserve"> </w:t>
      </w:r>
    </w:p>
    <w:p/>
    <w:p>
      <w:pPr>
        <w:spacing w:line="360" w:lineRule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1.2024年执法制式服装配换发项目绩效目标表</w:t>
      </w:r>
      <w:bookmarkStart w:id="2" w:name="_GoBack"/>
      <w:bookmarkEnd w:id="2"/>
    </w:p>
    <w:p>
      <w:pPr>
        <w:spacing w:line="360" w:lineRule="auto"/>
      </w:pPr>
      <w:r>
        <w:rPr>
          <w:rFonts w:hint="default" w:ascii="Times New Roman" w:hAnsi="Times New Roman" w:eastAsia="仿宋_GB2312" w:cs="Times New Roman"/>
          <w:sz w:val="30"/>
          <w:szCs w:val="30"/>
        </w:rPr>
        <w:t>2.总队2024年数字执法二级平台运维项目绩效目标表</w:t>
      </w:r>
      <w:r>
        <w:rPr>
          <w:rFonts w:hint="default" w:ascii="Times New Roman" w:hAnsi="Times New Roman" w:eastAsia="仿宋_GB2312" w:cs="Times New Roman"/>
          <w:sz w:val="30"/>
          <w:szCs w:val="30"/>
        </w:rPr>
        <w:br w:type="page"/>
      </w:r>
      <w:r>
        <w:rPr>
          <w:rFonts w:ascii="方正仿宋_GBK" w:hAnsi="方正仿宋_GBK" w:eastAsia="方正仿宋_GBK" w:cs="方正仿宋_GBK"/>
          <w:color w:val="000000"/>
          <w:sz w:val="28"/>
        </w:rPr>
        <w:t xml:space="preserve">  </w:t>
      </w:r>
    </w:p>
    <w:p>
      <w:pPr>
        <w:ind w:firstLine="560"/>
        <w:outlineLvl w:val="3"/>
      </w:pPr>
      <w:bookmarkStart w:id="0" w:name="_Toc126830450"/>
      <w:r>
        <w:rPr>
          <w:rFonts w:ascii="方正仿宋_GBK" w:hAnsi="方正仿宋_GBK" w:eastAsia="方正仿宋_GBK" w:cs="方正仿宋_GBK"/>
          <w:color w:val="000000"/>
          <w:sz w:val="28"/>
        </w:rPr>
        <w:t>1.202</w:t>
      </w:r>
      <w:r>
        <w:rPr>
          <w:rFonts w:hint="eastAsia" w:ascii="方正仿宋_GBK" w:hAnsi="方正仿宋_GBK" w:eastAsia="方正仿宋_GBK" w:cs="方正仿宋_GBK"/>
          <w:color w:val="000000"/>
          <w:sz w:val="28"/>
          <w:lang w:val="en-US" w:eastAsia="zh-CN"/>
        </w:rPr>
        <w:t>4</w:t>
      </w:r>
      <w:r>
        <w:rPr>
          <w:rFonts w:ascii="方正仿宋_GBK" w:hAnsi="方正仿宋_GBK" w:eastAsia="方正仿宋_GBK" w:cs="方正仿宋_GBK"/>
          <w:color w:val="000000"/>
          <w:sz w:val="28"/>
        </w:rPr>
        <w:t>年执法制式服装配换发项目绩效目标表</w:t>
      </w:r>
      <w:bookmarkEnd w:id="0"/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3"/>
            </w:pPr>
            <w:r>
              <w:t>326105天津市城市管理综合行政执法总队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2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5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4"/>
            </w:pPr>
            <w:r>
              <w:t>202</w:t>
            </w:r>
            <w:r>
              <w:rPr>
                <w:rFonts w:hint="eastAsia"/>
                <w:lang w:val="en-US" w:eastAsia="zh-CN"/>
              </w:rPr>
              <w:t>4</w:t>
            </w:r>
            <w:r>
              <w:t>年执法制式服装配换发项目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5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</w:pPr>
            <w:r>
              <w:rPr>
                <w:rFonts w:hint="eastAsia"/>
                <w:lang w:val="en-US" w:eastAsia="zh-CN"/>
              </w:rPr>
              <w:t>11</w:t>
            </w:r>
            <w:r>
              <w:t>.00</w:t>
            </w:r>
          </w:p>
        </w:tc>
        <w:tc>
          <w:tcPr>
            <w:tcW w:w="1587" w:type="dxa"/>
            <w:vAlign w:val="center"/>
          </w:tcPr>
          <w:p>
            <w:pPr>
              <w:pStyle w:val="15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4"/>
            </w:pPr>
            <w:r>
              <w:rPr>
                <w:rFonts w:hint="eastAsia"/>
                <w:lang w:val="en-US" w:eastAsia="zh-CN"/>
              </w:rPr>
              <w:t>11</w:t>
            </w:r>
            <w:r>
              <w:t>.00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4"/>
            </w:pPr>
            <w:r>
              <w:t>用于总队202</w:t>
            </w:r>
            <w:r>
              <w:rPr>
                <w:rFonts w:hint="eastAsia"/>
                <w:lang w:val="en-US" w:eastAsia="zh-CN"/>
              </w:rPr>
              <w:t>4</w:t>
            </w:r>
            <w:r>
              <w:t>年度执法制式服装配换发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5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4"/>
              <w:rPr>
                <w:rFonts w:hint="eastAsia" w:eastAsia="方正书宋_GBK"/>
                <w:lang w:eastAsia="zh-CN"/>
              </w:rPr>
            </w:pPr>
            <w:r>
              <w:rPr>
                <w:rFonts w:hint="eastAsia"/>
                <w:lang w:eastAsia="zh-CN"/>
              </w:rPr>
              <w:t>城市管理执法人员规范穿着制式服装和佩戴标志标识，严肃仪容仪表及执法风纪，推动执法队伍正规化建设水平进一步提高。</w:t>
            </w:r>
          </w:p>
        </w:tc>
      </w:tr>
    </w:tbl>
    <w:p>
      <w:pPr>
        <w:spacing w:line="2" w:lineRule="exact"/>
        <w:jc w:val="center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5"/>
        <w:tblW w:w="9865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3430"/>
        <w:gridCol w:w="25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5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6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</w:pPr>
            <w:r>
              <w:t>购置完成率</w:t>
            </w:r>
          </w:p>
        </w:tc>
        <w:tc>
          <w:tcPr>
            <w:tcW w:w="3430" w:type="dxa"/>
            <w:vAlign w:val="center"/>
          </w:tcPr>
          <w:p>
            <w:pPr>
              <w:pStyle w:val="14"/>
            </w:pPr>
            <w:r>
              <w:t>购置完成率</w:t>
            </w:r>
          </w:p>
        </w:tc>
        <w:tc>
          <w:tcPr>
            <w:tcW w:w="2551" w:type="dxa"/>
            <w:vAlign w:val="center"/>
          </w:tcPr>
          <w:p>
            <w:pPr>
              <w:pStyle w:val="14"/>
            </w:pPr>
            <w:r>
              <w:t>≥</w:t>
            </w:r>
            <w:r>
              <w:rPr>
                <w:rFonts w:hint="eastAsia"/>
                <w:lang w:val="en-US" w:eastAsia="zh-CN"/>
              </w:rPr>
              <w:t>95</w:t>
            </w:r>
            <w:r>
              <w:t>百分比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</w:pPr>
            <w:r>
              <w:t>购置数量</w:t>
            </w:r>
          </w:p>
        </w:tc>
        <w:tc>
          <w:tcPr>
            <w:tcW w:w="3430" w:type="dxa"/>
            <w:vAlign w:val="center"/>
          </w:tcPr>
          <w:p>
            <w:pPr>
              <w:pStyle w:val="14"/>
            </w:pPr>
            <w:r>
              <w:t>完成购置数量</w:t>
            </w:r>
          </w:p>
        </w:tc>
        <w:tc>
          <w:tcPr>
            <w:tcW w:w="2551" w:type="dxa"/>
            <w:vAlign w:val="center"/>
          </w:tcPr>
          <w:p>
            <w:pPr>
              <w:pStyle w:val="14"/>
            </w:pPr>
            <w:r>
              <w:t>≥</w:t>
            </w:r>
            <w:r>
              <w:rPr>
                <w:rFonts w:hint="eastAsia"/>
                <w:lang w:val="en-US" w:eastAsia="zh-CN"/>
              </w:rPr>
              <w:t>481</w:t>
            </w:r>
            <w:r>
              <w:t>件套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</w:pPr>
            <w:r>
              <w:t>产品合格率</w:t>
            </w:r>
          </w:p>
        </w:tc>
        <w:tc>
          <w:tcPr>
            <w:tcW w:w="3430" w:type="dxa"/>
            <w:vAlign w:val="center"/>
          </w:tcPr>
          <w:p>
            <w:pPr>
              <w:pStyle w:val="14"/>
            </w:pPr>
            <w:r>
              <w:t>购置产品合格率</w:t>
            </w:r>
          </w:p>
        </w:tc>
        <w:tc>
          <w:tcPr>
            <w:tcW w:w="2551" w:type="dxa"/>
            <w:vAlign w:val="center"/>
          </w:tcPr>
          <w:p>
            <w:pPr>
              <w:pStyle w:val="14"/>
            </w:pPr>
            <w:r>
              <w:t>≥95百分比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  <w:rPr>
                <w:rFonts w:hint="eastAsia" w:eastAsia="方正书宋_GBK"/>
                <w:lang w:eastAsia="zh-CN"/>
              </w:rPr>
            </w:pPr>
            <w:r>
              <w:rPr>
                <w:rFonts w:hint="eastAsia"/>
                <w:lang w:eastAsia="zh-CN"/>
              </w:rPr>
              <w:t>购置完成时间</w:t>
            </w:r>
          </w:p>
        </w:tc>
        <w:tc>
          <w:tcPr>
            <w:tcW w:w="3430" w:type="dxa"/>
            <w:vAlign w:val="center"/>
          </w:tcPr>
          <w:p>
            <w:pPr>
              <w:pStyle w:val="14"/>
            </w:pPr>
            <w:r>
              <w:rPr>
                <w:rFonts w:hint="eastAsia"/>
                <w:lang w:eastAsia="zh-CN"/>
              </w:rPr>
              <w:t>购置完成时间</w:t>
            </w:r>
          </w:p>
        </w:tc>
        <w:tc>
          <w:tcPr>
            <w:tcW w:w="2551" w:type="dxa"/>
            <w:vAlign w:val="center"/>
          </w:tcPr>
          <w:p>
            <w:pPr>
              <w:pStyle w:val="14"/>
            </w:pPr>
            <w:r>
              <w:t>202</w:t>
            </w:r>
            <w:r>
              <w:rPr>
                <w:rFonts w:hint="eastAsia"/>
                <w:lang w:val="en-US" w:eastAsia="zh-CN"/>
              </w:rPr>
              <w:t>4</w:t>
            </w:r>
            <w:r>
              <w:t>年</w:t>
            </w:r>
            <w:r>
              <w:rPr>
                <w:rFonts w:hint="eastAsia"/>
                <w:lang w:val="en-US" w:eastAsia="zh-CN"/>
              </w:rPr>
              <w:t>9</w:t>
            </w:r>
            <w:r>
              <w:t>月底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</w:pPr>
            <w:r>
              <w:t>购置成本</w:t>
            </w:r>
          </w:p>
        </w:tc>
        <w:tc>
          <w:tcPr>
            <w:tcW w:w="3430" w:type="dxa"/>
            <w:vAlign w:val="center"/>
          </w:tcPr>
          <w:p>
            <w:pPr>
              <w:pStyle w:val="14"/>
            </w:pPr>
            <w:r>
              <w:t>购置成本</w:t>
            </w:r>
          </w:p>
        </w:tc>
        <w:tc>
          <w:tcPr>
            <w:tcW w:w="2551" w:type="dxa"/>
            <w:vAlign w:val="center"/>
          </w:tcPr>
          <w:p>
            <w:pPr>
              <w:pStyle w:val="14"/>
            </w:pPr>
            <w:r>
              <w:t>≤</w:t>
            </w:r>
            <w:r>
              <w:rPr>
                <w:rFonts w:hint="eastAsia"/>
                <w:lang w:val="en-US" w:eastAsia="zh-CN"/>
              </w:rPr>
              <w:t>11</w:t>
            </w:r>
            <w:r>
              <w:t>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  <w:rPr>
                <w:rFonts w:hint="eastAsia" w:eastAsia="方正书宋_GBK"/>
                <w:lang w:eastAsia="zh-CN"/>
              </w:rPr>
            </w:pPr>
            <w:r>
              <w:rPr>
                <w:rFonts w:hint="eastAsia"/>
                <w:lang w:eastAsia="zh-CN"/>
              </w:rPr>
              <w:t>保障执法设备，满足执法需求</w:t>
            </w:r>
          </w:p>
        </w:tc>
        <w:tc>
          <w:tcPr>
            <w:tcW w:w="3430" w:type="dxa"/>
            <w:vAlign w:val="center"/>
          </w:tcPr>
          <w:p>
            <w:pPr>
              <w:pStyle w:val="14"/>
            </w:pPr>
            <w:r>
              <w:rPr>
                <w:rFonts w:hint="eastAsia"/>
                <w:lang w:eastAsia="zh-CN"/>
              </w:rPr>
              <w:t>保障执法设备，满足执法需求</w:t>
            </w:r>
          </w:p>
        </w:tc>
        <w:tc>
          <w:tcPr>
            <w:tcW w:w="2551" w:type="dxa"/>
            <w:vAlign w:val="center"/>
          </w:tcPr>
          <w:p>
            <w:pPr>
              <w:pStyle w:val="14"/>
            </w:pPr>
            <w:r>
              <w:t>≥9</w:t>
            </w:r>
            <w:r>
              <w:rPr>
                <w:rFonts w:hint="eastAsia"/>
                <w:lang w:val="en-US" w:eastAsia="zh-CN"/>
              </w:rPr>
              <w:t>8</w:t>
            </w:r>
            <w:r>
              <w:t>百分比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</w:pPr>
            <w:r>
              <w:rPr>
                <w:rFonts w:hint="eastAsia"/>
                <w:lang w:eastAsia="zh-CN"/>
              </w:rPr>
              <w:t>执法人员</w:t>
            </w:r>
            <w:r>
              <w:t>满意度</w:t>
            </w:r>
          </w:p>
        </w:tc>
        <w:tc>
          <w:tcPr>
            <w:tcW w:w="3430" w:type="dxa"/>
            <w:vAlign w:val="center"/>
          </w:tcPr>
          <w:p>
            <w:pPr>
              <w:pStyle w:val="14"/>
            </w:pPr>
            <w:r>
              <w:rPr>
                <w:rFonts w:hint="eastAsia"/>
                <w:lang w:eastAsia="zh-CN"/>
              </w:rPr>
              <w:t>执法人员</w:t>
            </w:r>
            <w:r>
              <w:t>满意度</w:t>
            </w:r>
          </w:p>
        </w:tc>
        <w:tc>
          <w:tcPr>
            <w:tcW w:w="2551" w:type="dxa"/>
            <w:vAlign w:val="center"/>
          </w:tcPr>
          <w:p>
            <w:pPr>
              <w:pStyle w:val="14"/>
            </w:pPr>
            <w:r>
              <w:t>≥97百分比</w:t>
            </w:r>
          </w:p>
        </w:tc>
      </w:tr>
    </w:tbl>
    <w:p>
      <w:pPr>
        <w:sectPr>
          <w:footerReference r:id="rId3" w:type="default"/>
          <w:footerReference r:id="rId4" w:type="even"/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jc w:val="center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ind w:firstLine="560"/>
        <w:outlineLvl w:val="3"/>
      </w:pPr>
      <w:bookmarkStart w:id="1" w:name="_Toc126830451"/>
      <w:r>
        <w:rPr>
          <w:rFonts w:hint="eastAsia" w:ascii="方正仿宋_GBK" w:hAnsi="方正仿宋_GBK" w:eastAsia="方正仿宋_GBK" w:cs="方正仿宋_GBK"/>
          <w:color w:val="000000"/>
          <w:sz w:val="28"/>
          <w:lang w:val="en-US" w:eastAsia="zh-CN"/>
        </w:rPr>
        <w:t>2</w:t>
      </w:r>
      <w:r>
        <w:rPr>
          <w:rFonts w:ascii="方正仿宋_GBK" w:hAnsi="方正仿宋_GBK" w:eastAsia="方正仿宋_GBK" w:cs="方正仿宋_GBK"/>
          <w:color w:val="000000"/>
          <w:sz w:val="28"/>
        </w:rPr>
        <w:t>.总队202</w:t>
      </w:r>
      <w:r>
        <w:rPr>
          <w:rFonts w:hint="eastAsia" w:ascii="方正仿宋_GBK" w:hAnsi="方正仿宋_GBK" w:eastAsia="方正仿宋_GBK" w:cs="方正仿宋_GBK"/>
          <w:color w:val="000000"/>
          <w:sz w:val="28"/>
          <w:lang w:val="en-US" w:eastAsia="zh-CN"/>
        </w:rPr>
        <w:t>4</w:t>
      </w:r>
      <w:r>
        <w:rPr>
          <w:rFonts w:ascii="方正仿宋_GBK" w:hAnsi="方正仿宋_GBK" w:eastAsia="方正仿宋_GBK" w:cs="方正仿宋_GBK"/>
          <w:color w:val="000000"/>
          <w:sz w:val="28"/>
        </w:rPr>
        <w:t>年数字执法二级平台运维项目绩效目标表</w:t>
      </w:r>
      <w:bookmarkEnd w:id="1"/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3"/>
            </w:pPr>
            <w:r>
              <w:t>326105天津市城市管理综合行政执法总队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2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5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4"/>
            </w:pPr>
            <w:r>
              <w:t>总队202</w:t>
            </w:r>
            <w:r>
              <w:rPr>
                <w:rFonts w:hint="eastAsia"/>
                <w:lang w:val="en-US" w:eastAsia="zh-CN"/>
              </w:rPr>
              <w:t>4</w:t>
            </w:r>
            <w:r>
              <w:t>年数字执法二级平台运维项目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5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  <w:rPr>
                <w:rFonts w:hint="default" w:eastAsia="方正书宋_GBK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47.3</w:t>
            </w:r>
          </w:p>
        </w:tc>
        <w:tc>
          <w:tcPr>
            <w:tcW w:w="1587" w:type="dxa"/>
            <w:vAlign w:val="center"/>
          </w:tcPr>
          <w:p>
            <w:pPr>
              <w:pStyle w:val="15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4"/>
              <w:rPr>
                <w:rFonts w:hint="default" w:eastAsia="方正书宋_GBK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47.3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4"/>
            </w:pPr>
            <w:r>
              <w:t>数字执法二级平台运维服务费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5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4"/>
            </w:pPr>
            <w:r>
              <w:t>提高日常办公、执法执勤效率，提升管理体系工作能力</w:t>
            </w:r>
          </w:p>
        </w:tc>
      </w:tr>
    </w:tbl>
    <w:p>
      <w:pPr>
        <w:spacing w:line="2" w:lineRule="exact"/>
        <w:jc w:val="center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5"/>
        <w:tblW w:w="9865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3430"/>
        <w:gridCol w:w="25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5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6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  <w:rPr>
                <w:rFonts w:hint="eastAsia" w:eastAsia="方正书宋_GBK"/>
                <w:lang w:eastAsia="zh-CN"/>
              </w:rPr>
            </w:pPr>
            <w:r>
              <w:t>硬件维护</w:t>
            </w:r>
            <w:r>
              <w:rPr>
                <w:rFonts w:hint="eastAsia"/>
                <w:lang w:eastAsia="zh-CN"/>
              </w:rPr>
              <w:t>率</w:t>
            </w:r>
          </w:p>
        </w:tc>
        <w:tc>
          <w:tcPr>
            <w:tcW w:w="3430" w:type="dxa"/>
            <w:vAlign w:val="center"/>
          </w:tcPr>
          <w:p>
            <w:pPr>
              <w:pStyle w:val="14"/>
            </w:pPr>
            <w:r>
              <w:t>硬件维护</w:t>
            </w:r>
            <w:r>
              <w:rPr>
                <w:rFonts w:hint="eastAsia"/>
                <w:lang w:eastAsia="zh-CN"/>
              </w:rPr>
              <w:t>率</w:t>
            </w:r>
          </w:p>
        </w:tc>
        <w:tc>
          <w:tcPr>
            <w:tcW w:w="2551" w:type="dxa"/>
            <w:vAlign w:val="center"/>
          </w:tcPr>
          <w:p>
            <w:pPr>
              <w:pStyle w:val="14"/>
            </w:pPr>
            <w:r>
              <w:t>≥97百分比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rPr>
                <w:rFonts w:hint="eastAsia"/>
                <w:lang w:eastAsia="zh-CN"/>
              </w:rPr>
              <w:t>数量</w:t>
            </w:r>
            <w:r>
              <w:t>指标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</w:pPr>
            <w:r>
              <w:t>网络覆盖率</w:t>
            </w:r>
          </w:p>
        </w:tc>
        <w:tc>
          <w:tcPr>
            <w:tcW w:w="3430" w:type="dxa"/>
            <w:vAlign w:val="center"/>
          </w:tcPr>
          <w:p>
            <w:pPr>
              <w:pStyle w:val="14"/>
            </w:pPr>
            <w:r>
              <w:t>网络通信可通率</w:t>
            </w:r>
          </w:p>
        </w:tc>
        <w:tc>
          <w:tcPr>
            <w:tcW w:w="2551" w:type="dxa"/>
            <w:vAlign w:val="center"/>
          </w:tcPr>
          <w:p>
            <w:pPr>
              <w:pStyle w:val="14"/>
            </w:pPr>
            <w:r>
              <w:t>≥97百分比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</w:pPr>
            <w:r>
              <w:t>系统正常运行率</w:t>
            </w:r>
          </w:p>
        </w:tc>
        <w:tc>
          <w:tcPr>
            <w:tcW w:w="3430" w:type="dxa"/>
            <w:vAlign w:val="center"/>
          </w:tcPr>
          <w:p>
            <w:pPr>
              <w:pStyle w:val="14"/>
            </w:pPr>
            <w:r>
              <w:t>系统正常运行率</w:t>
            </w:r>
          </w:p>
        </w:tc>
        <w:tc>
          <w:tcPr>
            <w:tcW w:w="2551" w:type="dxa"/>
            <w:vAlign w:val="center"/>
          </w:tcPr>
          <w:p>
            <w:pPr>
              <w:pStyle w:val="14"/>
            </w:pPr>
            <w:r>
              <w:t>≥97百分比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  <w:rPr>
                <w:rFonts w:hint="eastAsia" w:eastAsia="方正书宋_GBK"/>
                <w:lang w:eastAsia="zh-CN"/>
              </w:rPr>
            </w:pPr>
            <w:r>
              <w:rPr>
                <w:rFonts w:hint="eastAsia"/>
                <w:lang w:eastAsia="zh-CN"/>
              </w:rPr>
              <w:t>核对系统日常运维响应时间及时率</w:t>
            </w:r>
          </w:p>
        </w:tc>
        <w:tc>
          <w:tcPr>
            <w:tcW w:w="3430" w:type="dxa"/>
            <w:vAlign w:val="center"/>
          </w:tcPr>
          <w:p>
            <w:pPr>
              <w:pStyle w:val="14"/>
            </w:pPr>
            <w:r>
              <w:rPr>
                <w:rFonts w:hint="eastAsia"/>
                <w:lang w:eastAsia="zh-CN"/>
              </w:rPr>
              <w:t>核对系统日常运维响应时间及时率</w:t>
            </w:r>
          </w:p>
        </w:tc>
        <w:tc>
          <w:tcPr>
            <w:tcW w:w="2551" w:type="dxa"/>
            <w:vAlign w:val="center"/>
          </w:tcPr>
          <w:p>
            <w:pPr>
              <w:pStyle w:val="14"/>
            </w:pPr>
            <w:r>
              <w:t>≥97百分比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  <w:rPr>
                <w:rFonts w:hint="eastAsia" w:eastAsia="方正书宋_GBK"/>
                <w:lang w:eastAsia="zh-CN"/>
              </w:rPr>
            </w:pPr>
            <w:r>
              <w:rPr>
                <w:rFonts w:hint="eastAsia"/>
                <w:lang w:eastAsia="zh-CN"/>
              </w:rPr>
              <w:t>维修响应及时性</w:t>
            </w:r>
          </w:p>
        </w:tc>
        <w:tc>
          <w:tcPr>
            <w:tcW w:w="3430" w:type="dxa"/>
            <w:vAlign w:val="center"/>
          </w:tcPr>
          <w:p>
            <w:pPr>
              <w:pStyle w:val="14"/>
            </w:pPr>
            <w:r>
              <w:rPr>
                <w:rFonts w:hint="eastAsia"/>
                <w:lang w:eastAsia="zh-CN"/>
              </w:rPr>
              <w:t>维修响应</w:t>
            </w:r>
            <w:r>
              <w:t>时间</w:t>
            </w:r>
          </w:p>
        </w:tc>
        <w:tc>
          <w:tcPr>
            <w:tcW w:w="2551" w:type="dxa"/>
            <w:vAlign w:val="center"/>
          </w:tcPr>
          <w:p>
            <w:pPr>
              <w:pStyle w:val="14"/>
            </w:pPr>
            <w:r>
              <w:t>≤24小时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  <w:rPr>
                <w:rFonts w:hint="eastAsia" w:eastAsia="方正书宋_GBK"/>
                <w:lang w:eastAsia="zh-CN"/>
              </w:rPr>
            </w:pPr>
            <w:r>
              <w:rPr>
                <w:rFonts w:hint="eastAsia"/>
                <w:lang w:eastAsia="zh-CN"/>
              </w:rPr>
              <w:t>运行维护费用</w:t>
            </w:r>
          </w:p>
        </w:tc>
        <w:tc>
          <w:tcPr>
            <w:tcW w:w="3430" w:type="dxa"/>
            <w:vAlign w:val="center"/>
          </w:tcPr>
          <w:p>
            <w:pPr>
              <w:pStyle w:val="14"/>
            </w:pPr>
            <w:r>
              <w:rPr>
                <w:rFonts w:hint="eastAsia"/>
                <w:lang w:eastAsia="zh-CN"/>
              </w:rPr>
              <w:t>运行维护费用</w:t>
            </w:r>
          </w:p>
        </w:tc>
        <w:tc>
          <w:tcPr>
            <w:tcW w:w="2551" w:type="dxa"/>
            <w:vAlign w:val="center"/>
          </w:tcPr>
          <w:p>
            <w:pPr>
              <w:pStyle w:val="14"/>
            </w:pPr>
            <w:r>
              <w:t>≤</w:t>
            </w:r>
            <w:r>
              <w:rPr>
                <w:rFonts w:hint="eastAsia"/>
                <w:lang w:val="en-US" w:eastAsia="zh-CN"/>
              </w:rPr>
              <w:t>47.3</w:t>
            </w:r>
            <w:r>
              <w:t>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  <w:rPr>
                <w:rFonts w:hint="eastAsia" w:eastAsia="方正书宋_GBK"/>
                <w:lang w:eastAsia="zh-CN"/>
              </w:rPr>
            </w:pPr>
            <w:r>
              <w:t>单位信息化系统正常运转，可正常</w:t>
            </w:r>
            <w:r>
              <w:rPr>
                <w:rFonts w:hint="eastAsia"/>
                <w:lang w:eastAsia="zh-CN"/>
              </w:rPr>
              <w:t>办案率</w:t>
            </w:r>
          </w:p>
        </w:tc>
        <w:tc>
          <w:tcPr>
            <w:tcW w:w="3430" w:type="dxa"/>
            <w:vAlign w:val="center"/>
          </w:tcPr>
          <w:p>
            <w:pPr>
              <w:pStyle w:val="14"/>
            </w:pPr>
            <w:r>
              <w:t>单位信息化系统正常运转，可正常</w:t>
            </w:r>
            <w:r>
              <w:rPr>
                <w:rFonts w:hint="eastAsia"/>
                <w:lang w:eastAsia="zh-CN"/>
              </w:rPr>
              <w:t>办案率</w:t>
            </w:r>
          </w:p>
        </w:tc>
        <w:tc>
          <w:tcPr>
            <w:tcW w:w="2551" w:type="dxa"/>
            <w:vAlign w:val="center"/>
          </w:tcPr>
          <w:p>
            <w:pPr>
              <w:pStyle w:val="14"/>
            </w:pPr>
            <w:r>
              <w:t>≥95百分比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</w:pPr>
            <w:r>
              <w:rPr>
                <w:rFonts w:hint="eastAsia"/>
                <w:lang w:eastAsia="zh-CN"/>
              </w:rPr>
              <w:t>服务对象</w:t>
            </w:r>
            <w:r>
              <w:t>满意度</w:t>
            </w:r>
          </w:p>
        </w:tc>
        <w:tc>
          <w:tcPr>
            <w:tcW w:w="3430" w:type="dxa"/>
            <w:vAlign w:val="center"/>
          </w:tcPr>
          <w:p>
            <w:pPr>
              <w:pStyle w:val="14"/>
            </w:pPr>
            <w:r>
              <w:rPr>
                <w:rFonts w:hint="eastAsia"/>
                <w:lang w:eastAsia="zh-CN"/>
              </w:rPr>
              <w:t>平台使用方</w:t>
            </w:r>
            <w:r>
              <w:t>满意度</w:t>
            </w:r>
          </w:p>
        </w:tc>
        <w:tc>
          <w:tcPr>
            <w:tcW w:w="2551" w:type="dxa"/>
            <w:vAlign w:val="center"/>
          </w:tcPr>
          <w:p>
            <w:pPr>
              <w:pStyle w:val="14"/>
            </w:pPr>
            <w:r>
              <w:t>≥95百分比</w:t>
            </w:r>
          </w:p>
        </w:tc>
      </w:tr>
    </w:tbl>
    <w:p/>
    <w:sectPr>
      <w:pgSz w:w="11900" w:h="16840"/>
      <w:pgMar w:top="1984" w:right="1304" w:bottom="1134" w:left="1304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roman"/>
    <w:pitch w:val="default"/>
    <w:sig w:usb0="00000001" w:usb1="080E0000" w:usb2="00000000" w:usb3="00000000" w:csb0="00040000" w:csb1="00000000"/>
  </w:font>
  <w:font w:name="方正书宋_GBK">
    <w:altName w:val="微软雅黑"/>
    <w:panose1 w:val="02000000000000000000"/>
    <w:charset w:val="86"/>
    <w:family w:val="roma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roma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</w:pPr>
    <w:r>
      <w:fldChar w:fldCharType="begin"/>
    </w:r>
    <w:r>
      <w:instrText xml:space="preserve">PAGE "page number"</w:instrText>
    </w:r>
    <w:r>
      <w:fldChar w:fldCharType="separate"/>
    </w:r>
    <w:r>
      <w:t>page number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fldChar w:fldCharType="begin"/>
    </w:r>
    <w:r>
      <w:instrText xml:space="preserve">PAGE "page number"</w:instrText>
    </w:r>
    <w:r>
      <w:fldChar w:fldCharType="separate"/>
    </w:r>
    <w:r>
      <w:t>page number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TrackMoves/>
  <w:documentProtection w:enforcement="0"/>
  <w:defaultTabStop w:val="720"/>
  <w:evenAndOddHeaders w:val="1"/>
  <w:characterSpacingControl w:val="doNotCompress"/>
  <w:compat>
    <w:doNotLeaveBackslashAlon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I0NzY1N2E1MWE4MTNjMmJhOTAyYWNhMTE4ODFkMDMifQ=="/>
  </w:docVars>
  <w:rsids>
    <w:rsidRoot w:val="00AA0D2B"/>
    <w:rsid w:val="0088550D"/>
    <w:rsid w:val="00AA0D2B"/>
    <w:rsid w:val="00D31310"/>
    <w:rsid w:val="0ACD7CCB"/>
    <w:rsid w:val="208A450D"/>
    <w:rsid w:val="24EB1A2B"/>
    <w:rsid w:val="38173070"/>
    <w:rsid w:val="468E5DE5"/>
    <w:rsid w:val="6E7F9967"/>
    <w:rsid w:val="784C3DD3"/>
    <w:rsid w:val="7EF6C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/>
    <w:lsdException w:qFormat="1" w:unhideWhenUsed="0" w:uiPriority="0" w:semiHidden="0" w:name="toc 2"/>
    <w:lsdException w:uiPriority="39" w:name="toc 3"/>
    <w:lsdException w:qFormat="1" w:unhideWhenUsed="0" w:uiPriority="39" w:semiHidden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uk-UA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autoRedefine/>
    <w:qFormat/>
    <w:uiPriority w:val="0"/>
    <w:pPr>
      <w:spacing w:before="120"/>
    </w:pPr>
    <w:rPr>
      <w:rFonts w:eastAsia="方正仿宋_GBK"/>
      <w:color w:val="000000"/>
      <w:sz w:val="28"/>
    </w:rPr>
  </w:style>
  <w:style w:type="paragraph" w:styleId="3">
    <w:name w:val="toc 4"/>
    <w:basedOn w:val="1"/>
    <w:next w:val="1"/>
    <w:autoRedefine/>
    <w:qFormat/>
    <w:uiPriority w:val="39"/>
    <w:pPr>
      <w:ind w:left="720"/>
    </w:pPr>
  </w:style>
  <w:style w:type="paragraph" w:styleId="4">
    <w:name w:val="toc 2"/>
    <w:basedOn w:val="1"/>
    <w:next w:val="1"/>
    <w:autoRedefine/>
    <w:qFormat/>
    <w:uiPriority w:val="0"/>
    <w:pPr>
      <w:ind w:left="240"/>
    </w:pPr>
  </w:style>
  <w:style w:type="table" w:styleId="6">
    <w:name w:val="Table Grid"/>
    <w:basedOn w:val="5"/>
    <w:autoRedefine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8">
    <w:name w:val="Hyperlink"/>
    <w:basedOn w:val="7"/>
    <w:autoRedefine/>
    <w:unhideWhenUsed/>
    <w:qFormat/>
    <w:uiPriority w:val="99"/>
    <w:rPr>
      <w:color w:val="0563C1" w:themeColor="hyperlink"/>
      <w:u w:val="single"/>
    </w:rPr>
  </w:style>
  <w:style w:type="paragraph" w:customStyle="1" w:styleId="9">
    <w:name w:val="插入文本样式-插入总体目标文件"/>
    <w:basedOn w:val="1"/>
    <w:autoRedefine/>
    <w:qFormat/>
    <w:uiPriority w:val="0"/>
    <w:pPr>
      <w:spacing w:line="500" w:lineRule="exact"/>
      <w:ind w:firstLine="560"/>
    </w:pPr>
    <w:rPr>
      <w:rFonts w:eastAsia="方正仿宋_GBK"/>
      <w:sz w:val="28"/>
    </w:rPr>
  </w:style>
  <w:style w:type="paragraph" w:customStyle="1" w:styleId="10">
    <w:name w:val="插入文本样式-插入职责分类绩效目标文件"/>
    <w:basedOn w:val="1"/>
    <w:autoRedefine/>
    <w:qFormat/>
    <w:uiPriority w:val="0"/>
    <w:pPr>
      <w:spacing w:line="500" w:lineRule="exact"/>
      <w:ind w:firstLine="560"/>
    </w:pPr>
    <w:rPr>
      <w:rFonts w:eastAsia="方正仿宋_GBK"/>
      <w:sz w:val="28"/>
    </w:rPr>
  </w:style>
  <w:style w:type="paragraph" w:customStyle="1" w:styleId="11">
    <w:name w:val="插入文本样式-插入实现年度发展规划目标的保障措施文件"/>
    <w:basedOn w:val="1"/>
    <w:autoRedefine/>
    <w:qFormat/>
    <w:uiPriority w:val="0"/>
    <w:pPr>
      <w:spacing w:line="500" w:lineRule="exact"/>
      <w:ind w:firstLine="560"/>
    </w:pPr>
    <w:rPr>
      <w:rFonts w:eastAsia="方正仿宋_GBK"/>
      <w:sz w:val="28"/>
    </w:rPr>
  </w:style>
  <w:style w:type="paragraph" w:customStyle="1" w:styleId="12">
    <w:name w:val="单元格样式4"/>
    <w:basedOn w:val="1"/>
    <w:autoRedefine/>
    <w:qFormat/>
    <w:uiPriority w:val="0"/>
    <w:pPr>
      <w:jc w:val="right"/>
    </w:pPr>
    <w:rPr>
      <w:rFonts w:ascii="方正书宋_GBK" w:hAnsi="方正书宋_GBK" w:eastAsia="方正书宋_GBK" w:cs="方正书宋_GBK"/>
      <w:sz w:val="21"/>
    </w:rPr>
  </w:style>
  <w:style w:type="paragraph" w:customStyle="1" w:styleId="13">
    <w:name w:val="单元格样式5"/>
    <w:basedOn w:val="1"/>
    <w:autoRedefine/>
    <w:qFormat/>
    <w:uiPriority w:val="0"/>
    <w:rPr>
      <w:rFonts w:ascii="方正书宋_GBK" w:hAnsi="方正书宋_GBK" w:eastAsia="方正书宋_GBK" w:cs="方正书宋_GBK"/>
      <w:b/>
      <w:sz w:val="21"/>
    </w:rPr>
  </w:style>
  <w:style w:type="paragraph" w:customStyle="1" w:styleId="14">
    <w:name w:val="单元格样式2"/>
    <w:basedOn w:val="1"/>
    <w:autoRedefine/>
    <w:qFormat/>
    <w:uiPriority w:val="0"/>
    <w:rPr>
      <w:rFonts w:ascii="方正书宋_GBK" w:hAnsi="方正书宋_GBK" w:eastAsia="方正书宋_GBK" w:cs="方正书宋_GBK"/>
      <w:sz w:val="21"/>
    </w:rPr>
  </w:style>
  <w:style w:type="paragraph" w:customStyle="1" w:styleId="15">
    <w:name w:val="单元格样式1"/>
    <w:basedOn w:val="1"/>
    <w:autoRedefine/>
    <w:qFormat/>
    <w:uiPriority w:val="0"/>
    <w:pPr>
      <w:jc w:val="center"/>
    </w:pPr>
    <w:rPr>
      <w:rFonts w:ascii="方正书宋_GBK" w:hAnsi="方正书宋_GBK" w:eastAsia="方正书宋_GBK" w:cs="方正书宋_GBK"/>
      <w:b/>
      <w:sz w:val="21"/>
    </w:rPr>
  </w:style>
  <w:style w:type="paragraph" w:customStyle="1" w:styleId="16">
    <w:name w:val="单元格样式3"/>
    <w:basedOn w:val="1"/>
    <w:autoRedefine/>
    <w:qFormat/>
    <w:uiPriority w:val="0"/>
    <w:pPr>
      <w:jc w:val="center"/>
    </w:pPr>
    <w:rPr>
      <w:rFonts w:ascii="方正书宋_GBK" w:hAnsi="方正书宋_GBK" w:eastAsia="方正书宋_GBK" w:cs="方正书宋_GBK"/>
      <w:sz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134</Pages>
  <Words>49094</Words>
  <Characters>53829</Characters>
  <Lines>512</Lines>
  <Paragraphs>144</Paragraphs>
  <TotalTime>0</TotalTime>
  <ScaleCrop>false</ScaleCrop>
  <LinksUpToDate>false</LinksUpToDate>
  <CharactersWithSpaces>54569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2023-02-09T09:15:00Z</dcterms:created>
  <dc:creator>Administrator</dc:creator>
  <cp:lastModifiedBy>未定义</cp:lastModifiedBy>
  <dcterms:modified xsi:type="dcterms:W3CDTF">2024-03-11T02:38:30Z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A1492B4F35ED4A69819E16D0B6CC713F</vt:lpwstr>
  </property>
</Properties>
</file>