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  <w:bookmarkStart w:id="0" w:name="_Toc_4_4_0000000019"/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  <w:outlineLvl w:val="0"/>
        <w:rPr>
          <w:rFonts w:ascii="黑体" w:hAnsi="黑体" w:eastAsia="黑体" w:cs="方正小标宋_GBK"/>
          <w:color w:val="000000"/>
          <w:sz w:val="36"/>
        </w:rPr>
      </w:pPr>
    </w:p>
    <w:p>
      <w:pPr>
        <w:jc w:val="center"/>
        <w:outlineLvl w:val="0"/>
        <w:rPr>
          <w:rFonts w:ascii="黑体" w:hAnsi="黑体" w:eastAsia="黑体"/>
        </w:rPr>
      </w:pPr>
      <w:r>
        <w:rPr>
          <w:rFonts w:ascii="黑体" w:hAnsi="黑体" w:eastAsia="黑体" w:cs="方正小标宋_GBK"/>
          <w:color w:val="000000"/>
          <w:sz w:val="36"/>
        </w:rPr>
        <w:t>目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ind w:firstLine="560"/>
        <w:outlineLvl w:val="3"/>
        <w:rPr>
          <w:rFonts w:hint="eastAsia" w:ascii="仿宋" w:hAnsi="仿宋" w:eastAsia="仿宋" w:cs="仿宋"/>
          <w:sz w:val="28"/>
          <w:szCs w:val="28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4"/>
        <w:tabs>
          <w:tab w:val="right" w:leader="dot" w:pos="9282"/>
        </w:tabs>
        <w:ind w:left="0"/>
        <w:rPr>
          <w:rFonts w:eastAsia="仿宋_GB2312"/>
          <w:kern w:val="2"/>
          <w:sz w:val="30"/>
          <w:szCs w:val="30"/>
          <w:lang w:eastAsia="zh-CN"/>
        </w:rPr>
      </w:pPr>
    </w:p>
    <w:p>
      <w:pPr>
        <w:spacing w:line="360" w:lineRule="auto"/>
        <w:outlineLvl w:val="3"/>
        <w:rPr>
          <w:rFonts w:hint="eastAsia"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28"/>
        </w:rPr>
        <w:fldChar w:fldCharType="end"/>
      </w:r>
      <w:bookmarkStart w:id="6" w:name="_GoBack"/>
      <w:r>
        <w:rPr>
          <w:rFonts w:hint="eastAsia" w:eastAsia="方正仿宋_GBK"/>
          <w:color w:val="000000"/>
          <w:sz w:val="30"/>
          <w:szCs w:val="30"/>
        </w:rPr>
        <w:t>1、南翠屏公园2024年度梅江公园二期管理项目绩效目标表</w:t>
      </w:r>
    </w:p>
    <w:p>
      <w:pPr>
        <w:spacing w:line="360" w:lineRule="auto"/>
        <w:outlineLvl w:val="3"/>
        <w:rPr>
          <w:rFonts w:hint="eastAsia" w:eastAsia="方正仿宋_GBK"/>
          <w:color w:val="000000"/>
          <w:sz w:val="30"/>
          <w:szCs w:val="30"/>
        </w:rPr>
      </w:pPr>
      <w:r>
        <w:rPr>
          <w:rFonts w:hint="eastAsia" w:eastAsia="方正仿宋_GBK"/>
          <w:color w:val="000000"/>
          <w:sz w:val="30"/>
          <w:szCs w:val="30"/>
        </w:rPr>
        <w:t>2、南翠屏公园2024年度梅江公园一期管理项目绩效目标表</w:t>
      </w:r>
    </w:p>
    <w:p>
      <w:pPr>
        <w:spacing w:line="360" w:lineRule="auto"/>
        <w:outlineLvl w:val="3"/>
        <w:rPr>
          <w:rFonts w:hint="eastAsia" w:eastAsia="方正仿宋_GBK"/>
          <w:color w:val="000000"/>
          <w:sz w:val="30"/>
          <w:szCs w:val="30"/>
        </w:rPr>
      </w:pPr>
      <w:r>
        <w:rPr>
          <w:rFonts w:hint="eastAsia" w:eastAsia="方正仿宋_GBK"/>
          <w:color w:val="000000"/>
          <w:sz w:val="30"/>
          <w:szCs w:val="30"/>
        </w:rPr>
        <w:t>3、南翠屏公园2024年度养管项目绩效目标表</w:t>
      </w:r>
    </w:p>
    <w:p>
      <w:pPr>
        <w:spacing w:line="360" w:lineRule="auto"/>
        <w:outlineLvl w:val="3"/>
        <w:rPr>
          <w:rFonts w:hint="eastAsia" w:eastAsia="方正仿宋_GBK"/>
          <w:color w:val="000000"/>
          <w:sz w:val="30"/>
          <w:szCs w:val="30"/>
        </w:rPr>
      </w:pPr>
      <w:r>
        <w:rPr>
          <w:rFonts w:hint="eastAsia" w:eastAsia="方正仿宋_GBK"/>
          <w:color w:val="000000"/>
          <w:sz w:val="30"/>
          <w:szCs w:val="30"/>
        </w:rPr>
        <w:t>4、南翠屏公园2024年度智能化运维服务项目绩效目标表</w:t>
      </w:r>
    </w:p>
    <w:p>
      <w:pPr>
        <w:spacing w:line="360" w:lineRule="auto"/>
        <w:outlineLvl w:val="3"/>
        <w:rPr>
          <w:rFonts w:ascii="方正仿宋_GBK" w:hAnsi="方正仿宋_GBK" w:eastAsia="方正仿宋_GBK" w:cs="方正仿宋_GBK"/>
          <w:sz w:val="30"/>
          <w:szCs w:val="30"/>
          <w:lang w:eastAsia="zh-CN"/>
        </w:rPr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hint="eastAsia" w:eastAsia="方正仿宋_GBK"/>
          <w:color w:val="000000"/>
          <w:sz w:val="30"/>
          <w:szCs w:val="30"/>
        </w:rPr>
        <w:t>5、南翠屏公园2024年儿童广场厕所、游客驿站提升改造项目绩效目标表</w:t>
      </w:r>
      <w:bookmarkEnd w:id="6"/>
    </w:p>
    <w:bookmarkEnd w:id="0"/>
    <w:p>
      <w:pPr>
        <w:ind w:firstLine="560"/>
        <w:outlineLvl w:val="3"/>
      </w:pPr>
      <w:bookmarkStart w:id="1" w:name="_Toc_4_4_0000000021"/>
      <w:r>
        <w:rPr>
          <w:rFonts w:ascii="方正仿宋_GBK" w:hAnsi="方正仿宋_GBK" w:eastAsia="方正仿宋_GBK" w:cs="方正仿宋_GBK"/>
          <w:sz w:val="28"/>
        </w:rPr>
        <w:t>1.南翠屏公园2024年度梅江公园二期管理项目绩效目标表</w:t>
      </w:r>
      <w:bookmarkEnd w:id="1"/>
    </w:p>
    <w:tbl>
      <w:tblPr>
        <w:tblStyle w:val="5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326201天津市南翠屏公园管理所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南翠屏公园2024年度梅江公园二期管理项目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219.00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219.00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梅江公园二期养管服务费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证公园整体景观水平，确保设施的正常运行及游客游园安全，满足游人日益增长的游览观赏水平，提升公园管理水平，完善设施使用功能和观赏效果，为游客呈现融生态稳定、服务高效、特征鲜明、景观宜人的多元绿色空间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安保人员人数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安保人员人数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白班15人，夜班3人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垃圾清理及外运量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垃圾清理及外运量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4500立方米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管理区域面积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管理区域面积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29.84公顷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维护质量达标率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维护质量达标率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垃圾清理及外运及时率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垃圾清理及外运及时率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安保人员到岗率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安保人员到岗率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资金支出进度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资金支出进度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按照比例每季度支付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水体清洁与补水费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水体清洁与补水费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&lt;59万元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垃圾清理及外运费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垃圾清理及外运费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&lt;11.7万元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安保服务费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安保服务费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&lt;90万元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人民群众幸福感、满意度显著提升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人民群众幸福感、满意度显著提升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满足市民需求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环境改善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环境改善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各类指标改善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充分利用现有资源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社会公众对相关工作的满意度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社会公众对相关工作的满意度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22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.南翠屏公园2024年度梅江公园一期管理项目绩效目标表</w:t>
      </w:r>
      <w:bookmarkEnd w:id="2"/>
    </w:p>
    <w:tbl>
      <w:tblPr>
        <w:tblStyle w:val="5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326201天津市南翠屏公园管理所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南翠屏公园2024年度梅江公园一期管理项目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520.00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520.00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梅江公园一期养管服务费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按照相关要求，支付管理经费，完成绿地24.38万平方米、水体41.88万平方米、建筑4.38万平方米的管理任务，包括水体清洁与补水、绿地养管、设施维护、垃圾清理及外运、安保服务等。做好园内建筑物、构筑物等各类设施养护修缮工作以及绿地养护、公园安保、园容卫生等工作，同时保持园内湖泊景观并制定科学管理方案，逐步实现养管精细化，提升市民幸福感及满意度，持续改善环境质量，出现问题及时制定整改措施，尽可能满足市民的差异化需求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安保人员数量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安保人员数量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白班10人、夜班4人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垃圾清理及外运量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垃圾清理及外运量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4500立方米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维护设施数量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维护设施数量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43791平方米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管理区域面积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管理区域面积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74.3公顷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维护质量达标率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维护质量达标率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垃圾清理及外运及时率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垃圾清理及外运及时率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安保人员到岗率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安保人员到岗率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资金支出进度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资金支出进度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按照比例每季度支付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水体清洁与补水费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水体清洁与补水费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&lt;278万元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绿地养管费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绿地养管费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&lt;49万元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设施维护费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设施维护费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垃圾清理及外运费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垃圾清理及外运费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&lt;15万元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安保服务费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安保服务费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&lt;137万元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人民群众幸福感、满意度显著提升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人民群众幸福感、满意度显著提升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满足市民需求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环境改善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环境改善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各类指标改善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项目持续发挥作用期限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项目持续发挥作用期限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充分利用现有资源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社会公众对相关工作的满意度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社会公众对相关工作的满意度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23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.南翠屏公园2024年度养管项目绩效目标表</w:t>
      </w:r>
      <w:bookmarkEnd w:id="3"/>
    </w:p>
    <w:tbl>
      <w:tblPr>
        <w:tblStyle w:val="5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326201天津市南翠屏公园管理所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南翠屏公园2024年度养管项目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435.00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435.00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南翠屏公园养管费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证公园整体景观水平，确保设施的正常运行及游客游园安全，满足游人日益增长的游览观赏水平，提升公园管理水平，完善设施使用功能和观赏效果，为游客呈现融生态稳定、服务高效、特征鲜明、景观宜人的多元绿色空间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绿地养护面积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园区绿化面积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≥32万平米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园容卫生面积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园区保洁面积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≥3.4万平米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保安服务岗位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保安服务岗位数量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景观亭维护数量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景观亭数量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6座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桥梁维护数量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桥梁数量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4座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公共卫生间清洁的数量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公共卫生间数量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5座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水体养护面积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水体养护面积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≥8.5万平米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绿地养管质量达标率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日常养护工作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园容卫生保洁达标率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日常保洁工作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≥96%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保安服务达标率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日常安保工作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≥96%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园区设施完好率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日常维修工作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水体养管质量达标率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日常养护工作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各类设施维修维护及时率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响应时效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绿地养管及时率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响应时效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园容卫生保洁及时率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响应时效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安全响应及时率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响应时效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园容绿化服务成本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园容绿化服务年度资金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≤175万元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保安服务成本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保安服务年度资金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各类设施维修维护成本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设施维修维护年度资金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改善周边环境，有助于吸引社会投资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是否有效改善</w:t>
            </w:r>
            <w:r>
              <w:tab/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有效改善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保持园林绿化景观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是否保持良好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保持良好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保持园容卫生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是否保持良好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保持良好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保障园区安全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是否保持良好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保持良好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改善园区生态环境，保证了园内植物多样性，提升环境生态效果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是否有效改善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有效改善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植物、设施等永续利用，实现养管精细化管理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是否保持良好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保持良好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游客满意度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游客满意度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2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.南翠屏公园2024年度智能化运维服务项目绩效目标表</w:t>
      </w:r>
      <w:bookmarkEnd w:id="4"/>
    </w:p>
    <w:tbl>
      <w:tblPr>
        <w:tblStyle w:val="5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326201天津市南翠屏公园管理所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南翠屏公园2024年度智能化运维服务项目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23.70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23.70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智能化运维服务费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1.保证视频监控系统、公共广播系统、森林防火热成像系统、客流统计分析系统、一键报警对讲系统、室外管网及综合布线系统旳正常运行。切实加强园区的管理水平，保障公园安全，提高游客游园满意度。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日常维护信息系统数量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反映日常维护信息系统数量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信息系统日常维护合格率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反映信息系统日常维护合格情况，验收合格数量与项目总量的比值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系统运行事故发生频率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反映信息化系统运行质量情况，事故发生次数与系统运行时间的比值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系统功能达标率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反映信息化系统运行质量情况，系统功能模块符合标准数量与全部模块数量的比值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信息系统故障修复响应时间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反映信息系统故障修复及时响应程度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信息系统日常维护周期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反映信息系统日常维护计划周期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≤7天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系统运维及升级改造成本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反映系统运维及升级改造成本控制情况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&lt;23.7万元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对延长设备生命周期、降低故障率的影响程度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通过项目的实施对延长设备生命周期、降低故障率的影响程度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效益程度 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对提高公共服务能力和效率的改善或提升程度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通过项目的实施对提高公共服务能力和效率的改善或提升程度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效益程度 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对信息系统可用性及稳定性的改善或提升程度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通过项目的实施对信息系统可用性及稳定性的改善或提升程度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效益程度 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对提高或改善公共服务水平的持续影响程度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通过项目的实施对提高或改善公共服务水平的持续影响程度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效益程度 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25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.南翠屏公园2024年儿童广场厕所、游客驿站提升改造项目绩效目标表</w:t>
      </w:r>
      <w:bookmarkEnd w:id="5"/>
    </w:p>
    <w:tbl>
      <w:tblPr>
        <w:tblStyle w:val="5"/>
        <w:tblW w:w="9866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326201天津市南翠屏公园管理所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南翠屏公园2024年儿童广场厕所、游客驿站提升改造项目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南翠屏公园儿童广场厕所和服务驿站启动资金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6"/>
            </w:pPr>
            <w:r>
              <w:t>1.满足游客如厕需求、游憩需求，为百姓做实事，改善人民群众生活品质，推动公园发展，提升服务质量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工程项目数量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反映工程项目数量情况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工程项目面积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反映工程项目面积情况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≤400平方米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工程项目竣工验收合格率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反映基建工程项目质量验收合格情况，项目验收合格数量与全部项目数量的比值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项目变更控制率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反映项目变更控制情况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经费支出合规性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是否严格执行相关财经法规、制度等规定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严格执行相关财经 法规、制度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经费支出时效性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反映项目经费支出的及时程度和效率情况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严格按照工程进度支付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项目启动资金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项目启动资金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对公共服务水平的改善或提高程度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反映项目的实施对公共服务管理能力的改善或提高程度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改善或提升程度明显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对区域生态环境的提升或影响程度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反映项目的实施对区域生态环境的提升或影响程度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改善或提升程度明显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采用节能环保建筑材料，倡导绿色健康环保理念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反映工程项目自身节能减排生态效益情况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效益程度明显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对提高或改善公共服务水平的持续影响程度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反映对提高或改善公共服务水平的持续影响程度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影响程度明显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反映服务对象或项目受益人对相关产出及其影响的认可程度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zY1N2E1MWE4MTNjMmJhOTAyYWNhMTE4ODFkMDMifQ=="/>
  </w:docVars>
  <w:rsids>
    <w:rsidRoot w:val="00F75335"/>
    <w:rsid w:val="000F28F7"/>
    <w:rsid w:val="00187965"/>
    <w:rsid w:val="006F2658"/>
    <w:rsid w:val="007C2205"/>
    <w:rsid w:val="007F1427"/>
    <w:rsid w:val="00862734"/>
    <w:rsid w:val="00984C9E"/>
    <w:rsid w:val="00F75335"/>
    <w:rsid w:val="082C6442"/>
    <w:rsid w:val="0B420FC5"/>
    <w:rsid w:val="11F1104F"/>
    <w:rsid w:val="151B4D60"/>
    <w:rsid w:val="16414353"/>
    <w:rsid w:val="1F552E57"/>
    <w:rsid w:val="332F4A1B"/>
    <w:rsid w:val="358C7750"/>
    <w:rsid w:val="38C34C43"/>
    <w:rsid w:val="43AA5DF4"/>
    <w:rsid w:val="443864E5"/>
    <w:rsid w:val="603B318E"/>
    <w:rsid w:val="67095D94"/>
    <w:rsid w:val="6D91715B"/>
    <w:rsid w:val="7D692C90"/>
    <w:rsid w:val="7ED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1"/>
    <w:next w:val="1"/>
    <w:autoRedefine/>
    <w:unhideWhenUsed/>
    <w:qFormat/>
    <w:uiPriority w:val="39"/>
    <w:pPr>
      <w:ind w:left="720"/>
    </w:pPr>
  </w:style>
  <w:style w:type="table" w:styleId="6">
    <w:name w:val="Table Grid"/>
    <w:basedOn w:val="5"/>
    <w:autoRedefine/>
    <w:qFormat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9">
    <w:name w:val="TOC 2"/>
    <w:basedOn w:val="1"/>
    <w:autoRedefine/>
    <w:qFormat/>
    <w:uiPriority w:val="0"/>
    <w:pPr>
      <w:ind w:left="240"/>
    </w:pPr>
  </w:style>
  <w:style w:type="paragraph" w:customStyle="1" w:styleId="20">
    <w:name w:val="TOC 4"/>
    <w:basedOn w:val="1"/>
    <w:autoRedefine/>
    <w:qFormat/>
    <w:uiPriority w:val="0"/>
    <w:pPr>
      <w:ind w:left="720"/>
    </w:pPr>
  </w:style>
  <w:style w:type="paragraph" w:customStyle="1" w:styleId="21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682</Words>
  <Characters>3892</Characters>
  <Lines>32</Lines>
  <Paragraphs>9</Paragraphs>
  <TotalTime>0</TotalTime>
  <ScaleCrop>false</ScaleCrop>
  <LinksUpToDate>false</LinksUpToDate>
  <CharactersWithSpaces>4565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dell</dc:creator>
  <cp:lastModifiedBy>未定义</cp:lastModifiedBy>
  <dcterms:modified xsi:type="dcterms:W3CDTF">2024-03-07T09:36:03Z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A4B02F7315C442039EF1A5AC6BD37826_12</vt:lpwstr>
  </property>
</Properties>
</file>