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0"/>
        <w:outlineLvl w:val="3"/>
        <w:rPr>
          <w:rFonts w:ascii="方正仿宋_GBK" w:hAnsi="方正仿宋_GBK" w:eastAsia="方正仿宋_GBK" w:cs="方正仿宋_GBK"/>
          <w:sz w:val="28"/>
          <w:lang w:eastAsia="zh-CN"/>
        </w:rPr>
      </w:pPr>
      <w:bookmarkStart w:id="0" w:name="_Toc_4_4_0000000019"/>
    </w:p>
    <w:p>
      <w:pPr>
        <w:jc w:val="center"/>
        <w:rPr>
          <w:rFonts w:eastAsia="方正小标宋简体"/>
          <w:color w:val="000000"/>
          <w:sz w:val="56"/>
          <w:szCs w:val="22"/>
          <w:lang w:eastAsia="zh-CN"/>
        </w:rPr>
      </w:pPr>
    </w:p>
    <w:p>
      <w:pPr>
        <w:jc w:val="center"/>
        <w:rPr>
          <w:rFonts w:eastAsia="方正小标宋简体"/>
          <w:color w:val="000000"/>
          <w:sz w:val="56"/>
          <w:szCs w:val="22"/>
          <w:lang w:eastAsia="zh-CN"/>
        </w:rPr>
      </w:pPr>
    </w:p>
    <w:p>
      <w:pPr>
        <w:jc w:val="center"/>
        <w:rPr>
          <w:rFonts w:eastAsia="方正小标宋简体"/>
          <w:color w:val="000000"/>
          <w:sz w:val="56"/>
          <w:szCs w:val="22"/>
          <w:lang w:eastAsia="zh-CN"/>
        </w:rPr>
      </w:pPr>
    </w:p>
    <w:p>
      <w:pPr>
        <w:jc w:val="center"/>
        <w:rPr>
          <w:rFonts w:eastAsia="方正小标宋简体"/>
          <w:color w:val="000000"/>
          <w:sz w:val="56"/>
          <w:szCs w:val="22"/>
          <w:lang w:eastAsia="zh-CN"/>
        </w:rPr>
      </w:pPr>
    </w:p>
    <w:p>
      <w:pPr>
        <w:jc w:val="center"/>
        <w:rPr>
          <w:rFonts w:eastAsia="方正小标宋简体"/>
          <w:color w:val="000000"/>
          <w:sz w:val="56"/>
          <w:szCs w:val="22"/>
          <w:lang w:eastAsia="zh-CN"/>
        </w:rPr>
      </w:pPr>
    </w:p>
    <w:p>
      <w:pPr>
        <w:jc w:val="center"/>
        <w:rPr>
          <w:rFonts w:eastAsia="方正小标宋简体"/>
          <w:sz w:val="22"/>
          <w:szCs w:val="22"/>
        </w:rPr>
      </w:pPr>
      <w:r>
        <w:rPr>
          <w:rFonts w:eastAsia="方正小标宋简体"/>
          <w:color w:val="000000"/>
          <w:sz w:val="56"/>
          <w:szCs w:val="22"/>
          <w:lang w:eastAsia="zh-CN"/>
        </w:rPr>
        <w:t>项目支出绩效目标表</w:t>
      </w:r>
    </w:p>
    <w:p>
      <w:pPr>
        <w:jc w:val="center"/>
        <w:rPr>
          <w:rFonts w:eastAsia="方正小标宋简体"/>
          <w:sz w:val="52"/>
          <w:szCs w:val="52"/>
        </w:rPr>
      </w:pPr>
      <w:r>
        <w:rPr>
          <w:rFonts w:eastAsia="方正小标宋简体"/>
          <w:color w:val="000000"/>
          <w:sz w:val="52"/>
          <w:szCs w:val="52"/>
        </w:rPr>
        <w:t>（</w:t>
      </w:r>
      <w:r>
        <w:rPr>
          <w:rFonts w:eastAsia="方正小标宋简体"/>
          <w:color w:val="000000"/>
          <w:sz w:val="52"/>
          <w:szCs w:val="52"/>
          <w:lang w:eastAsia="zh-CN"/>
        </w:rPr>
        <w:t>202</w:t>
      </w:r>
      <w:r>
        <w:rPr>
          <w:rFonts w:hint="eastAsia" w:eastAsia="方正小标宋简体"/>
          <w:color w:val="000000"/>
          <w:sz w:val="52"/>
          <w:szCs w:val="52"/>
          <w:lang w:val="en-US" w:eastAsia="zh-CN"/>
        </w:rPr>
        <w:t>4</w:t>
      </w:r>
      <w:r>
        <w:rPr>
          <w:rFonts w:eastAsia="方正小标宋简体"/>
          <w:color w:val="000000"/>
          <w:sz w:val="52"/>
          <w:szCs w:val="52"/>
          <w:lang w:eastAsia="zh-CN"/>
        </w:rPr>
        <w:t>年</w:t>
      </w:r>
      <w:r>
        <w:rPr>
          <w:rFonts w:eastAsia="方正小标宋简体"/>
          <w:color w:val="000000"/>
          <w:sz w:val="52"/>
          <w:szCs w:val="52"/>
        </w:rPr>
        <w:t>）</w:t>
      </w:r>
    </w:p>
    <w:p>
      <w:pPr>
        <w:spacing w:before="0" w:after="0" w:line="240" w:lineRule="auto"/>
        <w:ind w:firstLine="0"/>
        <w:jc w:val="center"/>
        <w:outlineLvl w:val="9"/>
      </w:pPr>
      <w:r>
        <w:rPr>
          <w:rFonts w:ascii="方正小标宋_GBK" w:hAnsi="方正小标宋_GBK" w:eastAsia="方正小标宋_GBK" w:cs="方正小标宋_GBK"/>
          <w:sz w:val="52"/>
        </w:rPr>
        <w:t xml:space="preserve"> </w:t>
      </w:r>
    </w:p>
    <w:p>
      <w:pPr>
        <w:spacing w:before="0" w:after="0" w:line="240" w:lineRule="auto"/>
        <w:ind w:firstLine="0"/>
        <w:jc w:val="center"/>
        <w:outlineLvl w:val="9"/>
        <w:sectPr>
          <w:pgSz w:w="11900" w:h="16840"/>
          <w:pgMar w:top="1984" w:right="1304" w:bottom="1134" w:left="1304" w:header="720" w:footer="720" w:gutter="0"/>
          <w:cols w:space="720" w:num="1"/>
          <w:titlePg/>
        </w:sectPr>
      </w:pPr>
      <w:r>
        <w:rPr>
          <w:rFonts w:ascii="方正小标宋_GBK" w:hAnsi="方正小标宋_GBK" w:eastAsia="方正小标宋_GBK" w:cs="方正小标宋_GBK"/>
          <w:sz w:val="52"/>
        </w:rPr>
        <w:t xml:space="preserve"> </w:t>
      </w:r>
    </w:p>
    <w:p>
      <w:pPr>
        <w:spacing w:before="0" w:after="0" w:line="240" w:lineRule="auto"/>
        <w:ind w:firstLine="0"/>
        <w:jc w:val="both"/>
        <w:outlineLvl w:val="0"/>
        <w:rPr>
          <w:rFonts w:ascii="方正小标宋_GBK" w:hAnsi="方正小标宋_GBK" w:eastAsia="方正小标宋_GBK" w:cs="方正小标宋_GBK"/>
          <w:sz w:val="36"/>
        </w:rPr>
      </w:pPr>
    </w:p>
    <w:p>
      <w:pPr>
        <w:spacing w:before="0" w:after="0" w:line="240" w:lineRule="auto"/>
        <w:ind w:firstLine="0"/>
        <w:jc w:val="center"/>
        <w:outlineLvl w:val="0"/>
      </w:pPr>
      <w:r>
        <w:rPr>
          <w:rFonts w:ascii="方正小标宋_GBK" w:hAnsi="方正小标宋_GBK" w:eastAsia="方正小标宋_GBK" w:cs="方正小标宋_GBK"/>
          <w:sz w:val="36"/>
        </w:rPr>
        <w:t>目    录</w:t>
      </w:r>
    </w:p>
    <w:p>
      <w:pPr>
        <w:ind w:firstLine="560"/>
        <w:outlineLvl w:val="3"/>
        <w:rPr>
          <w:rFonts w:ascii="方正仿宋_GBK" w:hAnsi="方正仿宋_GBK" w:eastAsia="方正仿宋_GBK" w:cs="方正仿宋_GBK"/>
          <w:sz w:val="28"/>
          <w:lang w:eastAsia="zh-CN"/>
        </w:rPr>
      </w:pPr>
    </w:p>
    <w:p>
      <w:pPr>
        <w:spacing w:line="360" w:lineRule="auto"/>
        <w:outlineLvl w:val="3"/>
        <w:rPr>
          <w:rFonts w:hint="default" w:ascii="Times New Roman" w:hAnsi="Times New Roman" w:eastAsia="方正仿宋_GBK" w:cs="Times New Roman"/>
          <w:sz w:val="30"/>
          <w:szCs w:val="30"/>
          <w:lang w:eastAsia="zh-CN"/>
        </w:rPr>
      </w:pPr>
      <w:r>
        <w:rPr>
          <w:rFonts w:hint="eastAsia" w:eastAsia="方正仿宋_GBK" w:cs="Times New Roman"/>
          <w:sz w:val="30"/>
          <w:szCs w:val="30"/>
          <w:lang w:val="en-US" w:eastAsia="zh-CN"/>
        </w:rPr>
        <w:t>1</w:t>
      </w:r>
      <w:r>
        <w:rPr>
          <w:rFonts w:hint="default" w:ascii="Times New Roman" w:hAnsi="Times New Roman" w:eastAsia="方正仿宋_GBK" w:cs="Times New Roman"/>
          <w:sz w:val="30"/>
          <w:szCs w:val="30"/>
          <w:lang w:eastAsia="zh-CN"/>
        </w:rPr>
        <w:t>.市道路巡查中心2024年劳务派遣人员劳务费绩效目标表</w:t>
      </w:r>
      <w:r>
        <w:rPr>
          <w:rFonts w:hint="default" w:ascii="Times New Roman" w:hAnsi="Times New Roman" w:eastAsia="方正仿宋_GBK" w:cs="Times New Roman"/>
          <w:sz w:val="30"/>
          <w:szCs w:val="30"/>
          <w:lang w:eastAsia="zh-CN"/>
        </w:rPr>
        <w:tab/>
      </w:r>
    </w:p>
    <w:p>
      <w:pPr>
        <w:spacing w:line="360" w:lineRule="auto"/>
        <w:outlineLvl w:val="3"/>
        <w:rPr>
          <w:rFonts w:hint="default" w:ascii="Times New Roman" w:hAnsi="Times New Roman" w:eastAsia="方正仿宋_GBK" w:cs="Times New Roman"/>
          <w:sz w:val="30"/>
          <w:szCs w:val="30"/>
          <w:lang w:eastAsia="zh-CN"/>
        </w:rPr>
      </w:pPr>
      <w:r>
        <w:rPr>
          <w:rFonts w:hint="eastAsia" w:eastAsia="方正仿宋_GBK" w:cs="Times New Roman"/>
          <w:sz w:val="30"/>
          <w:szCs w:val="30"/>
          <w:lang w:val="en-US" w:eastAsia="zh-CN"/>
        </w:rPr>
        <w:t>2</w:t>
      </w:r>
      <w:r>
        <w:rPr>
          <w:rFonts w:hint="default" w:ascii="Times New Roman" w:hAnsi="Times New Roman" w:eastAsia="方正仿宋_GBK" w:cs="Times New Roman"/>
          <w:sz w:val="30"/>
          <w:szCs w:val="30"/>
          <w:lang w:eastAsia="zh-CN"/>
        </w:rPr>
        <w:t>.市道路巡查中心2024年市政道路巡查管理平台维护项目绩效目标表</w:t>
      </w:r>
      <w:r>
        <w:rPr>
          <w:rFonts w:hint="default" w:ascii="Times New Roman" w:hAnsi="Times New Roman" w:eastAsia="方正仿宋_GBK" w:cs="Times New Roman"/>
          <w:sz w:val="30"/>
          <w:szCs w:val="30"/>
          <w:lang w:eastAsia="zh-CN"/>
        </w:rPr>
        <w:tab/>
      </w:r>
    </w:p>
    <w:p>
      <w:pPr>
        <w:spacing w:line="360" w:lineRule="auto"/>
        <w:outlineLvl w:val="3"/>
        <w:rPr>
          <w:rFonts w:hint="default" w:ascii="Times New Roman" w:hAnsi="Times New Roman" w:eastAsia="方正仿宋_GBK" w:cs="Times New Roman"/>
          <w:sz w:val="30"/>
          <w:szCs w:val="30"/>
          <w:lang w:eastAsia="zh-CN"/>
        </w:rPr>
      </w:pPr>
      <w:r>
        <w:rPr>
          <w:rFonts w:hint="eastAsia" w:eastAsia="方正仿宋_GBK" w:cs="Times New Roman"/>
          <w:sz w:val="30"/>
          <w:szCs w:val="30"/>
          <w:lang w:val="en-US" w:eastAsia="zh-CN"/>
        </w:rPr>
        <w:t>3</w:t>
      </w:r>
      <w:r>
        <w:rPr>
          <w:rFonts w:hint="default" w:ascii="Times New Roman" w:hAnsi="Times New Roman" w:eastAsia="方正仿宋_GBK" w:cs="Times New Roman"/>
          <w:sz w:val="30"/>
          <w:szCs w:val="30"/>
          <w:lang w:eastAsia="zh-CN"/>
        </w:rPr>
        <w:t>.市道路巡查中心2024年天津市地下市政基础设施普查外业质量检查工作服务项目绩效目标表</w:t>
      </w:r>
      <w:r>
        <w:rPr>
          <w:rFonts w:hint="default" w:ascii="Times New Roman" w:hAnsi="Times New Roman" w:eastAsia="方正仿宋_GBK" w:cs="Times New Roman"/>
          <w:sz w:val="30"/>
          <w:szCs w:val="30"/>
          <w:lang w:eastAsia="zh-CN"/>
        </w:rPr>
        <w:tab/>
      </w:r>
    </w:p>
    <w:p>
      <w:pPr>
        <w:spacing w:line="360" w:lineRule="auto"/>
        <w:outlineLvl w:val="3"/>
        <w:rPr>
          <w:rFonts w:hint="default" w:ascii="Times New Roman" w:hAnsi="Times New Roman" w:eastAsia="方正仿宋_GBK" w:cs="Times New Roman"/>
          <w:sz w:val="30"/>
          <w:szCs w:val="30"/>
          <w:lang w:eastAsia="zh-CN"/>
        </w:rPr>
      </w:pPr>
      <w:r>
        <w:rPr>
          <w:rFonts w:hint="eastAsia" w:eastAsia="方正仿宋_GBK" w:cs="Times New Roman"/>
          <w:sz w:val="30"/>
          <w:szCs w:val="30"/>
          <w:lang w:val="en-US" w:eastAsia="zh-CN"/>
        </w:rPr>
        <w:t>4</w:t>
      </w:r>
      <w:r>
        <w:rPr>
          <w:rFonts w:hint="default" w:ascii="Times New Roman" w:hAnsi="Times New Roman" w:eastAsia="方正仿宋_GBK" w:cs="Times New Roman"/>
          <w:sz w:val="30"/>
          <w:szCs w:val="30"/>
          <w:lang w:eastAsia="zh-CN"/>
        </w:rPr>
        <w:t>.市道路巡查中心2024年巡查车辆更新项目（自有资金）绩效目标表</w:t>
      </w:r>
      <w:r>
        <w:rPr>
          <w:rFonts w:hint="default" w:ascii="Times New Roman" w:hAnsi="Times New Roman" w:eastAsia="方正仿宋_GBK" w:cs="Times New Roman"/>
          <w:sz w:val="30"/>
          <w:szCs w:val="30"/>
          <w:lang w:eastAsia="zh-CN"/>
        </w:rPr>
        <w:tab/>
      </w:r>
    </w:p>
    <w:p>
      <w:pPr>
        <w:spacing w:line="360" w:lineRule="auto"/>
        <w:ind w:firstLine="560"/>
        <w:outlineLvl w:val="3"/>
        <w:rPr>
          <w:rFonts w:hint="default" w:ascii="Times New Roman" w:hAnsi="Times New Roman" w:eastAsia="方正仿宋_GBK" w:cs="Times New Roman"/>
          <w:sz w:val="28"/>
          <w:lang w:eastAsia="zh-CN"/>
        </w:rPr>
      </w:pPr>
    </w:p>
    <w:p>
      <w:pPr>
        <w:ind w:firstLine="560"/>
        <w:outlineLvl w:val="3"/>
        <w:rPr>
          <w:rFonts w:ascii="方正仿宋_GBK" w:hAnsi="方正仿宋_GBK" w:eastAsia="方正仿宋_GBK" w:cs="方正仿宋_GBK"/>
          <w:sz w:val="28"/>
          <w:lang w:eastAsia="zh-CN"/>
        </w:rPr>
      </w:pPr>
    </w:p>
    <w:p>
      <w:pPr>
        <w:ind w:firstLine="560"/>
        <w:outlineLvl w:val="3"/>
        <w:rPr>
          <w:rFonts w:ascii="方正仿宋_GBK" w:hAnsi="方正仿宋_GBK" w:eastAsia="方正仿宋_GBK" w:cs="方正仿宋_GBK"/>
          <w:sz w:val="28"/>
          <w:lang w:eastAsia="zh-CN"/>
        </w:rPr>
      </w:pPr>
    </w:p>
    <w:p>
      <w:pPr>
        <w:outlineLvl w:val="3"/>
        <w:rPr>
          <w:rFonts w:ascii="方正仿宋_GBK" w:hAnsi="方正仿宋_GBK" w:eastAsia="方正仿宋_GBK" w:cs="方正仿宋_GBK"/>
          <w:sz w:val="28"/>
          <w:lang w:eastAsia="zh-CN"/>
        </w:rPr>
      </w:pPr>
    </w:p>
    <w:p>
      <w:pPr>
        <w:outlineLvl w:val="3"/>
        <w:rPr>
          <w:rFonts w:ascii="方正仿宋_GBK" w:hAnsi="方正仿宋_GBK" w:eastAsia="方正仿宋_GBK" w:cs="方正仿宋_GBK"/>
          <w:sz w:val="28"/>
          <w:lang w:eastAsia="zh-CN"/>
        </w:rPr>
      </w:pPr>
    </w:p>
    <w:p>
      <w:pPr>
        <w:outlineLvl w:val="3"/>
        <w:rPr>
          <w:rFonts w:ascii="方正仿宋_GBK" w:hAnsi="方正仿宋_GBK" w:eastAsia="方正仿宋_GBK" w:cs="方正仿宋_GBK"/>
          <w:sz w:val="28"/>
          <w:lang w:eastAsia="zh-CN"/>
        </w:rPr>
      </w:pPr>
    </w:p>
    <w:p>
      <w:pPr>
        <w:outlineLvl w:val="3"/>
        <w:rPr>
          <w:rFonts w:ascii="方正仿宋_GBK" w:hAnsi="方正仿宋_GBK" w:eastAsia="方正仿宋_GBK" w:cs="方正仿宋_GBK"/>
          <w:sz w:val="28"/>
          <w:lang w:eastAsia="zh-CN"/>
        </w:rPr>
      </w:pPr>
    </w:p>
    <w:p>
      <w:pPr>
        <w:outlineLvl w:val="3"/>
        <w:rPr>
          <w:rFonts w:ascii="方正仿宋_GBK" w:hAnsi="方正仿宋_GBK" w:eastAsia="方正仿宋_GBK" w:cs="方正仿宋_GBK"/>
          <w:sz w:val="28"/>
          <w:lang w:eastAsia="zh-CN"/>
        </w:rPr>
      </w:pPr>
    </w:p>
    <w:p>
      <w:pPr>
        <w:outlineLvl w:val="3"/>
        <w:rPr>
          <w:rFonts w:ascii="方正仿宋_GBK" w:hAnsi="方正仿宋_GBK" w:eastAsia="方正仿宋_GBK" w:cs="方正仿宋_GBK"/>
          <w:sz w:val="28"/>
          <w:lang w:eastAsia="zh-CN"/>
        </w:rPr>
      </w:pPr>
    </w:p>
    <w:p>
      <w:pPr>
        <w:outlineLvl w:val="3"/>
        <w:rPr>
          <w:rFonts w:ascii="方正仿宋_GBK" w:hAnsi="方正仿宋_GBK" w:eastAsia="方正仿宋_GBK" w:cs="方正仿宋_GBK"/>
          <w:sz w:val="28"/>
          <w:lang w:eastAsia="zh-CN"/>
        </w:rPr>
      </w:pPr>
    </w:p>
    <w:p>
      <w:pPr>
        <w:outlineLvl w:val="3"/>
        <w:rPr>
          <w:rFonts w:ascii="方正仿宋_GBK" w:hAnsi="方正仿宋_GBK" w:eastAsia="方正仿宋_GBK" w:cs="方正仿宋_GBK"/>
          <w:sz w:val="28"/>
          <w:lang w:eastAsia="zh-CN"/>
        </w:rPr>
      </w:pPr>
    </w:p>
    <w:p>
      <w:pPr>
        <w:outlineLvl w:val="3"/>
        <w:rPr>
          <w:rFonts w:ascii="方正仿宋_GBK" w:hAnsi="方正仿宋_GBK" w:eastAsia="方正仿宋_GBK" w:cs="方正仿宋_GBK"/>
          <w:sz w:val="28"/>
          <w:lang w:eastAsia="zh-CN"/>
        </w:rPr>
      </w:pPr>
    </w:p>
    <w:p>
      <w:pPr>
        <w:outlineLvl w:val="3"/>
        <w:rPr>
          <w:rFonts w:ascii="方正仿宋_GBK" w:hAnsi="方正仿宋_GBK" w:eastAsia="方正仿宋_GBK" w:cs="方正仿宋_GBK"/>
          <w:sz w:val="28"/>
          <w:lang w:eastAsia="zh-CN"/>
        </w:rPr>
      </w:pPr>
    </w:p>
    <w:p>
      <w:pPr>
        <w:outlineLvl w:val="3"/>
        <w:rPr>
          <w:rFonts w:ascii="方正仿宋_GBK" w:hAnsi="方正仿宋_GBK" w:eastAsia="方正仿宋_GBK" w:cs="方正仿宋_GBK"/>
          <w:sz w:val="28"/>
          <w:lang w:eastAsia="zh-CN"/>
        </w:rPr>
      </w:pPr>
    </w:p>
    <w:p>
      <w:pPr>
        <w:outlineLvl w:val="3"/>
        <w:rPr>
          <w:rFonts w:ascii="方正仿宋_GBK" w:hAnsi="方正仿宋_GBK" w:eastAsia="方正仿宋_GBK" w:cs="方正仿宋_GBK"/>
          <w:sz w:val="28"/>
          <w:lang w:eastAsia="zh-CN"/>
        </w:rPr>
      </w:pPr>
    </w:p>
    <w:p>
      <w:pPr>
        <w:outlineLvl w:val="3"/>
        <w:rPr>
          <w:rFonts w:ascii="方正仿宋_GBK" w:hAnsi="方正仿宋_GBK" w:eastAsia="方正仿宋_GBK" w:cs="方正仿宋_GBK"/>
          <w:sz w:val="28"/>
          <w:lang w:eastAsia="zh-CN"/>
        </w:rPr>
      </w:pPr>
    </w:p>
    <w:p>
      <w:pPr>
        <w:outlineLvl w:val="3"/>
        <w:rPr>
          <w:rFonts w:ascii="方正仿宋_GBK" w:hAnsi="方正仿宋_GBK" w:eastAsia="方正仿宋_GBK" w:cs="方正仿宋_GBK"/>
          <w:sz w:val="28"/>
          <w:lang w:eastAsia="zh-CN"/>
        </w:rPr>
      </w:pPr>
    </w:p>
    <w:p>
      <w:pPr>
        <w:ind w:firstLine="560"/>
        <w:outlineLvl w:val="3"/>
        <w:rPr>
          <w:rFonts w:ascii="方正仿宋_GBK" w:hAnsi="方正仿宋_GBK" w:eastAsia="方正仿宋_GBK" w:cs="方正仿宋_GBK"/>
          <w:sz w:val="28"/>
          <w:lang w:eastAsia="zh-CN"/>
        </w:rPr>
      </w:pPr>
    </w:p>
    <w:p>
      <w:pPr>
        <w:ind w:firstLine="560"/>
        <w:outlineLvl w:val="3"/>
        <w:rPr>
          <w:rFonts w:ascii="方正仿宋_GBK" w:hAnsi="方正仿宋_GBK" w:eastAsia="方正仿宋_GBK" w:cs="方正仿宋_GBK"/>
          <w:sz w:val="28"/>
          <w:lang w:eastAsia="zh-CN"/>
        </w:rPr>
      </w:pPr>
    </w:p>
    <w:p>
      <w:pPr>
        <w:ind w:firstLine="560"/>
        <w:outlineLvl w:val="3"/>
        <w:rPr>
          <w:rFonts w:ascii="方正仿宋_GBK" w:hAnsi="方正仿宋_GBK" w:eastAsia="方正仿宋_GBK" w:cs="方正仿宋_GBK"/>
          <w:sz w:val="28"/>
          <w:lang w:eastAsia="zh-CN"/>
        </w:rPr>
      </w:pPr>
    </w:p>
    <w:p>
      <w:pPr>
        <w:ind w:firstLine="560"/>
        <w:outlineLvl w:val="3"/>
        <w:rPr>
          <w:rFonts w:ascii="方正仿宋_GBK" w:hAnsi="方正仿宋_GBK" w:eastAsia="方正仿宋_GBK" w:cs="方正仿宋_GBK"/>
          <w:sz w:val="28"/>
          <w:lang w:eastAsia="zh-CN"/>
        </w:rPr>
      </w:pPr>
    </w:p>
    <w:bookmarkEnd w:id="0"/>
    <w:p>
      <w:pPr>
        <w:ind w:firstLine="560"/>
        <w:outlineLvl w:val="3"/>
      </w:pPr>
      <w:bookmarkStart w:id="1" w:name="_Toc_4_4_0000000070"/>
      <w:r>
        <w:rPr>
          <w:rFonts w:hint="eastAsia" w:ascii="方正仿宋_GBK" w:hAnsi="方正仿宋_GBK" w:eastAsia="方正仿宋_GBK" w:cs="方正仿宋_GBK"/>
          <w:sz w:val="28"/>
          <w:lang w:val="en-US" w:eastAsia="zh-CN"/>
        </w:rPr>
        <w:t>1</w:t>
      </w:r>
      <w:r>
        <w:rPr>
          <w:rFonts w:ascii="方正仿宋_GBK" w:hAnsi="方正仿宋_GBK" w:eastAsia="方正仿宋_GBK" w:cs="方正仿宋_GBK"/>
          <w:sz w:val="28"/>
        </w:rPr>
        <w:t>.市道路巡查中心2024年劳务派遣人员劳务费绩效目标表</w:t>
      </w:r>
      <w:bookmarkEnd w:id="1"/>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326219天津市城市道路设施巡查中心</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市道路巡查中心2024年劳务派遣人员劳务费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616.00</w:t>
            </w:r>
          </w:p>
        </w:tc>
        <w:tc>
          <w:tcPr>
            <w:tcW w:w="1587" w:type="dxa"/>
            <w:vAlign w:val="center"/>
          </w:tcPr>
          <w:p>
            <w:pPr>
              <w:pStyle w:val="16"/>
            </w:pPr>
            <w:r>
              <w:t>其中：财政    资金</w:t>
            </w:r>
          </w:p>
        </w:tc>
        <w:tc>
          <w:tcPr>
            <w:tcW w:w="1843" w:type="dxa"/>
            <w:vAlign w:val="center"/>
          </w:tcPr>
          <w:p>
            <w:pPr>
              <w:pStyle w:val="15"/>
            </w:pPr>
            <w:r>
              <w:t>616.00</w:t>
            </w:r>
          </w:p>
        </w:tc>
        <w:tc>
          <w:tcPr>
            <w:tcW w:w="1276" w:type="dxa"/>
            <w:vAlign w:val="center"/>
          </w:tcPr>
          <w:p>
            <w:pPr>
              <w:pStyle w:val="16"/>
            </w:pPr>
            <w:r>
              <w:t>其他资金</w:t>
            </w:r>
          </w:p>
        </w:tc>
        <w:tc>
          <w:tcPr>
            <w:tcW w:w="1276" w:type="dxa"/>
            <w:vAlign w:val="center"/>
          </w:tcPr>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5"/>
            </w:pPr>
            <w:r>
              <w:t>2024年劳务派遣人员劳务费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1.完成劳务派遣人员劳务费发放工作</w:t>
            </w:r>
          </w:p>
          <w:p>
            <w:pPr>
              <w:pStyle w:val="15"/>
            </w:pPr>
            <w:r>
              <w:t>2.完成劳务公司服务费发放工作</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人员安置数</w:t>
            </w:r>
          </w:p>
        </w:tc>
        <w:tc>
          <w:tcPr>
            <w:tcW w:w="3430" w:type="dxa"/>
            <w:vAlign w:val="center"/>
          </w:tcPr>
          <w:p>
            <w:pPr>
              <w:pStyle w:val="15"/>
            </w:pPr>
            <w:r>
              <w:t>人员安置数</w:t>
            </w:r>
          </w:p>
        </w:tc>
        <w:tc>
          <w:tcPr>
            <w:tcW w:w="2551" w:type="dxa"/>
            <w:vAlign w:val="center"/>
          </w:tcPr>
          <w:p>
            <w:pPr>
              <w:pStyle w:val="15"/>
            </w:pPr>
            <w:r>
              <w:t>≤64人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人员上岗率</w:t>
            </w:r>
          </w:p>
        </w:tc>
        <w:tc>
          <w:tcPr>
            <w:tcW w:w="3430" w:type="dxa"/>
            <w:vAlign w:val="center"/>
          </w:tcPr>
          <w:p>
            <w:pPr>
              <w:pStyle w:val="15"/>
            </w:pPr>
            <w:r>
              <w:t>人员上岗率</w:t>
            </w:r>
          </w:p>
        </w:tc>
        <w:tc>
          <w:tcPr>
            <w:tcW w:w="2551" w:type="dxa"/>
            <w:vAlign w:val="center"/>
          </w:tcPr>
          <w:p>
            <w:pPr>
              <w:pStyle w:val="15"/>
            </w:pPr>
            <w:r>
              <w:t>≤100百分比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巡查工作达标率</w:t>
            </w:r>
          </w:p>
        </w:tc>
        <w:tc>
          <w:tcPr>
            <w:tcW w:w="3430" w:type="dxa"/>
            <w:vAlign w:val="center"/>
          </w:tcPr>
          <w:p>
            <w:pPr>
              <w:pStyle w:val="15"/>
            </w:pPr>
            <w:r>
              <w:t>巡查工作达标率</w:t>
            </w:r>
          </w:p>
        </w:tc>
        <w:tc>
          <w:tcPr>
            <w:tcW w:w="2551" w:type="dxa"/>
            <w:vAlign w:val="center"/>
          </w:tcPr>
          <w:p>
            <w:pPr>
              <w:pStyle w:val="15"/>
            </w:pPr>
            <w:r>
              <w:t>≤100百分比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发放及时率</w:t>
            </w:r>
          </w:p>
        </w:tc>
        <w:tc>
          <w:tcPr>
            <w:tcW w:w="3430" w:type="dxa"/>
            <w:vAlign w:val="center"/>
          </w:tcPr>
          <w:p>
            <w:pPr>
              <w:pStyle w:val="15"/>
            </w:pPr>
            <w:r>
              <w:t>发放及时率</w:t>
            </w:r>
          </w:p>
        </w:tc>
        <w:tc>
          <w:tcPr>
            <w:tcW w:w="2551" w:type="dxa"/>
            <w:vAlign w:val="center"/>
          </w:tcPr>
          <w:p>
            <w:pPr>
              <w:pStyle w:val="15"/>
            </w:pPr>
            <w:r>
              <w:t>≤100百分比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项目服务费用</w:t>
            </w:r>
          </w:p>
        </w:tc>
        <w:tc>
          <w:tcPr>
            <w:tcW w:w="3430" w:type="dxa"/>
            <w:vAlign w:val="center"/>
          </w:tcPr>
          <w:p>
            <w:pPr>
              <w:pStyle w:val="15"/>
            </w:pPr>
            <w:r>
              <w:t>项目服务费用</w:t>
            </w:r>
          </w:p>
        </w:tc>
        <w:tc>
          <w:tcPr>
            <w:tcW w:w="2551" w:type="dxa"/>
            <w:vAlign w:val="center"/>
          </w:tcPr>
          <w:p>
            <w:pPr>
              <w:pStyle w:val="15"/>
            </w:pPr>
            <w:r>
              <w:t>≤7.2万元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项目工资费用</w:t>
            </w:r>
          </w:p>
        </w:tc>
        <w:tc>
          <w:tcPr>
            <w:tcW w:w="3430" w:type="dxa"/>
            <w:vAlign w:val="center"/>
          </w:tcPr>
          <w:p>
            <w:pPr>
              <w:pStyle w:val="15"/>
            </w:pPr>
            <w:r>
              <w:t>项目工资费用</w:t>
            </w:r>
          </w:p>
        </w:tc>
        <w:tc>
          <w:tcPr>
            <w:tcW w:w="2551" w:type="dxa"/>
            <w:vAlign w:val="center"/>
          </w:tcPr>
          <w:p>
            <w:pPr>
              <w:pStyle w:val="15"/>
            </w:pPr>
            <w:r>
              <w:t>≤608.8万元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5"/>
            </w:pPr>
            <w:r>
              <w:t>经济效益指标</w:t>
            </w:r>
          </w:p>
        </w:tc>
        <w:tc>
          <w:tcPr>
            <w:tcW w:w="1332" w:type="dxa"/>
            <w:vAlign w:val="center"/>
          </w:tcPr>
          <w:p>
            <w:pPr>
              <w:pStyle w:val="15"/>
            </w:pPr>
            <w:r>
              <w:t>道路巡查率</w:t>
            </w:r>
          </w:p>
        </w:tc>
        <w:tc>
          <w:tcPr>
            <w:tcW w:w="3430" w:type="dxa"/>
            <w:vAlign w:val="center"/>
          </w:tcPr>
          <w:p>
            <w:pPr>
              <w:pStyle w:val="15"/>
            </w:pPr>
            <w:r>
              <w:t>道路巡查率</w:t>
            </w:r>
          </w:p>
        </w:tc>
        <w:tc>
          <w:tcPr>
            <w:tcW w:w="2551" w:type="dxa"/>
            <w:vAlign w:val="center"/>
          </w:tcPr>
          <w:p>
            <w:pPr>
              <w:pStyle w:val="15"/>
            </w:pPr>
            <w:r>
              <w:t>≤100百分比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安置人员满意度</w:t>
            </w:r>
          </w:p>
        </w:tc>
        <w:tc>
          <w:tcPr>
            <w:tcW w:w="3430" w:type="dxa"/>
            <w:vAlign w:val="center"/>
          </w:tcPr>
          <w:p>
            <w:pPr>
              <w:pStyle w:val="15"/>
            </w:pPr>
            <w:r>
              <w:t>安置人员满意度</w:t>
            </w:r>
          </w:p>
        </w:tc>
        <w:tc>
          <w:tcPr>
            <w:tcW w:w="2551" w:type="dxa"/>
            <w:vAlign w:val="center"/>
          </w:tcPr>
          <w:p>
            <w:pPr>
              <w:pStyle w:val="15"/>
            </w:pPr>
            <w:r>
              <w:t>≥90百分比</w:t>
            </w:r>
          </w:p>
        </w:tc>
      </w:tr>
    </w:tbl>
    <w:p>
      <w:pPr>
        <w:sectPr>
          <w:pgSz w:w="11900" w:h="16840"/>
          <w:pgMar w:top="1984" w:right="1304" w:bottom="1134" w:left="1304" w:header="720" w:footer="720" w:gutter="0"/>
          <w:cols w:space="720" w:num="1"/>
        </w:sectPr>
      </w:pPr>
    </w:p>
    <w:p>
      <w:pPr>
        <w:jc w:val="center"/>
      </w:pPr>
    </w:p>
    <w:p>
      <w:pPr>
        <w:ind w:firstLine="560"/>
        <w:outlineLvl w:val="3"/>
      </w:pPr>
      <w:bookmarkStart w:id="2" w:name="_Toc_4_4_0000000071"/>
      <w:r>
        <w:rPr>
          <w:rFonts w:hint="eastAsia" w:ascii="方正仿宋_GBK" w:hAnsi="方正仿宋_GBK" w:eastAsia="方正仿宋_GBK" w:cs="方正仿宋_GBK"/>
          <w:sz w:val="28"/>
          <w:lang w:val="en-US" w:eastAsia="zh-CN"/>
        </w:rPr>
        <w:t>2</w:t>
      </w:r>
      <w:r>
        <w:rPr>
          <w:rFonts w:ascii="方正仿宋_GBK" w:hAnsi="方正仿宋_GBK" w:eastAsia="方正仿宋_GBK" w:cs="方正仿宋_GBK"/>
          <w:sz w:val="28"/>
        </w:rPr>
        <w:t>.市道路巡查中心2024年市政道路巡查管理平台维护项目绩效目标表</w:t>
      </w:r>
      <w:bookmarkEnd w:id="2"/>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326219天津市城市道路设施巡查中心</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市道路巡查中心2024年市政道路巡查管理平台维护项目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21.00</w:t>
            </w:r>
          </w:p>
        </w:tc>
        <w:tc>
          <w:tcPr>
            <w:tcW w:w="1587" w:type="dxa"/>
            <w:vAlign w:val="center"/>
          </w:tcPr>
          <w:p>
            <w:pPr>
              <w:pStyle w:val="16"/>
            </w:pPr>
            <w:r>
              <w:t>其中：财政    资金</w:t>
            </w:r>
          </w:p>
        </w:tc>
        <w:tc>
          <w:tcPr>
            <w:tcW w:w="1843" w:type="dxa"/>
            <w:vAlign w:val="center"/>
          </w:tcPr>
          <w:p>
            <w:pPr>
              <w:pStyle w:val="15"/>
            </w:pPr>
            <w:r>
              <w:t>21.00</w:t>
            </w:r>
          </w:p>
        </w:tc>
        <w:tc>
          <w:tcPr>
            <w:tcW w:w="1276" w:type="dxa"/>
            <w:vAlign w:val="center"/>
          </w:tcPr>
          <w:p>
            <w:pPr>
              <w:pStyle w:val="16"/>
            </w:pPr>
            <w:r>
              <w:t>其他资金</w:t>
            </w:r>
          </w:p>
        </w:tc>
        <w:tc>
          <w:tcPr>
            <w:tcW w:w="1276" w:type="dxa"/>
            <w:vAlign w:val="center"/>
          </w:tcPr>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5"/>
            </w:pPr>
            <w:r>
              <w:t>巡查中心2024年市政道路巡查管理平台维护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1.软件系统故障率保证在5%以下。</w:t>
            </w:r>
          </w:p>
          <w:p>
            <w:pPr>
              <w:pStyle w:val="15"/>
            </w:pPr>
            <w:r>
              <w:t>2.软件系统故障及时修复处理。</w:t>
            </w:r>
          </w:p>
          <w:p>
            <w:pPr>
              <w:pStyle w:val="15"/>
            </w:pPr>
            <w:r>
              <w:t>3.软件系统运行维护及时反馈，立即响应。</w:t>
            </w:r>
          </w:p>
          <w:p>
            <w:pPr>
              <w:pStyle w:val="15"/>
            </w:pPr>
            <w:r>
              <w:t>4.软件系统年度维护成本增长率为0。</w:t>
            </w:r>
          </w:p>
          <w:p>
            <w:pPr>
              <w:pStyle w:val="15"/>
            </w:pPr>
            <w:r>
              <w:t>5.软件系统功能满足需求，使用人员基本满意。</w:t>
            </w:r>
          </w:p>
          <w:p>
            <w:pPr>
              <w:pStyle w:val="15"/>
            </w:pPr>
            <w:r>
              <w:t>6.软件系统正常使用</w:t>
            </w:r>
          </w:p>
          <w:p>
            <w:pPr>
              <w:pStyle w:val="15"/>
            </w:pPr>
            <w:r>
              <w:t>7.软件系统等保测评</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系统巡检</w:t>
            </w:r>
          </w:p>
        </w:tc>
        <w:tc>
          <w:tcPr>
            <w:tcW w:w="3430" w:type="dxa"/>
            <w:vAlign w:val="center"/>
          </w:tcPr>
          <w:p>
            <w:pPr>
              <w:pStyle w:val="15"/>
            </w:pPr>
            <w:r>
              <w:t>系统巡检</w:t>
            </w:r>
          </w:p>
        </w:tc>
        <w:tc>
          <w:tcPr>
            <w:tcW w:w="2551" w:type="dxa"/>
            <w:vAlign w:val="center"/>
          </w:tcPr>
          <w:p>
            <w:pPr>
              <w:pStyle w:val="15"/>
            </w:pPr>
            <w:r>
              <w:t>每周一次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系统故障率</w:t>
            </w:r>
          </w:p>
        </w:tc>
        <w:tc>
          <w:tcPr>
            <w:tcW w:w="3430" w:type="dxa"/>
            <w:vAlign w:val="center"/>
          </w:tcPr>
          <w:p>
            <w:pPr>
              <w:pStyle w:val="15"/>
            </w:pPr>
            <w:r>
              <w:t>系统故障率</w:t>
            </w:r>
          </w:p>
        </w:tc>
        <w:tc>
          <w:tcPr>
            <w:tcW w:w="2551" w:type="dxa"/>
            <w:vAlign w:val="center"/>
          </w:tcPr>
          <w:p>
            <w:pPr>
              <w:pStyle w:val="15"/>
            </w:pPr>
            <w:r>
              <w:t>&lt;5百分比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系统故障修复处理时间</w:t>
            </w:r>
          </w:p>
        </w:tc>
        <w:tc>
          <w:tcPr>
            <w:tcW w:w="3430" w:type="dxa"/>
            <w:vAlign w:val="center"/>
          </w:tcPr>
          <w:p>
            <w:pPr>
              <w:pStyle w:val="15"/>
            </w:pPr>
            <w:r>
              <w:t>系统故障修复处理时间</w:t>
            </w:r>
          </w:p>
        </w:tc>
        <w:tc>
          <w:tcPr>
            <w:tcW w:w="2551" w:type="dxa"/>
            <w:vAlign w:val="center"/>
          </w:tcPr>
          <w:p>
            <w:pPr>
              <w:pStyle w:val="15"/>
            </w:pPr>
            <w:r>
              <w:t>1小时内给予解答，2小时提供解决方案。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系统运行维护响应时间</w:t>
            </w:r>
          </w:p>
        </w:tc>
        <w:tc>
          <w:tcPr>
            <w:tcW w:w="3430" w:type="dxa"/>
            <w:vAlign w:val="center"/>
          </w:tcPr>
          <w:p>
            <w:pPr>
              <w:pStyle w:val="15"/>
            </w:pPr>
            <w:r>
              <w:t>系统运行维护响应时间</w:t>
            </w:r>
          </w:p>
        </w:tc>
        <w:tc>
          <w:tcPr>
            <w:tcW w:w="2551" w:type="dxa"/>
            <w:vAlign w:val="center"/>
          </w:tcPr>
          <w:p>
            <w:pPr>
              <w:pStyle w:val="15"/>
            </w:pPr>
            <w:r>
              <w:t>及时反馈，立即响应。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年度维护成本增长率</w:t>
            </w:r>
          </w:p>
        </w:tc>
        <w:tc>
          <w:tcPr>
            <w:tcW w:w="3430" w:type="dxa"/>
            <w:vAlign w:val="center"/>
          </w:tcPr>
          <w:p>
            <w:pPr>
              <w:pStyle w:val="15"/>
            </w:pPr>
            <w:r>
              <w:t>年度维护成本增长率</w:t>
            </w:r>
          </w:p>
        </w:tc>
        <w:tc>
          <w:tcPr>
            <w:tcW w:w="2551" w:type="dxa"/>
            <w:vAlign w:val="center"/>
          </w:tcPr>
          <w:p>
            <w:pPr>
              <w:pStyle w:val="15"/>
            </w:pPr>
            <w:r>
              <w:t>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5"/>
            </w:pPr>
            <w:r>
              <w:t>可持续影响指标</w:t>
            </w:r>
          </w:p>
        </w:tc>
        <w:tc>
          <w:tcPr>
            <w:tcW w:w="1332" w:type="dxa"/>
            <w:vAlign w:val="center"/>
          </w:tcPr>
          <w:p>
            <w:pPr>
              <w:pStyle w:val="15"/>
            </w:pPr>
            <w:r>
              <w:t>软件系统正常使用</w:t>
            </w:r>
          </w:p>
        </w:tc>
        <w:tc>
          <w:tcPr>
            <w:tcW w:w="3430" w:type="dxa"/>
            <w:vAlign w:val="center"/>
          </w:tcPr>
          <w:p>
            <w:pPr>
              <w:pStyle w:val="15"/>
            </w:pPr>
            <w:r>
              <w:t>软件系统正常使用</w:t>
            </w:r>
          </w:p>
        </w:tc>
        <w:tc>
          <w:tcPr>
            <w:tcW w:w="2551" w:type="dxa"/>
            <w:vAlign w:val="center"/>
          </w:tcPr>
          <w:p>
            <w:pPr>
              <w:pStyle w:val="15"/>
            </w:pPr>
            <w:r>
              <w:t>≥90百分比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使用人员满意度</w:t>
            </w:r>
          </w:p>
        </w:tc>
        <w:tc>
          <w:tcPr>
            <w:tcW w:w="3430" w:type="dxa"/>
            <w:vAlign w:val="center"/>
          </w:tcPr>
          <w:p>
            <w:pPr>
              <w:pStyle w:val="15"/>
            </w:pPr>
            <w:r>
              <w:t>使用人员满意度</w:t>
            </w:r>
          </w:p>
        </w:tc>
        <w:tc>
          <w:tcPr>
            <w:tcW w:w="2551" w:type="dxa"/>
            <w:vAlign w:val="center"/>
          </w:tcPr>
          <w:p>
            <w:pPr>
              <w:pStyle w:val="15"/>
            </w:pPr>
            <w:r>
              <w:t>使用人员满意度达到80%以上得满分，60%-80%得10分，60%以下不得分</w:t>
            </w:r>
          </w:p>
        </w:tc>
      </w:tr>
    </w:tbl>
    <w:p>
      <w:pPr>
        <w:sectPr>
          <w:pgSz w:w="11900" w:h="16840"/>
          <w:pgMar w:top="1984" w:right="1304" w:bottom="1134" w:left="1304" w:header="720" w:footer="720" w:gutter="0"/>
          <w:cols w:space="720" w:num="1"/>
        </w:sectPr>
      </w:pPr>
    </w:p>
    <w:p>
      <w:pPr>
        <w:jc w:val="center"/>
      </w:pPr>
    </w:p>
    <w:p>
      <w:pPr>
        <w:ind w:firstLine="560"/>
        <w:outlineLvl w:val="3"/>
      </w:pPr>
      <w:bookmarkStart w:id="3" w:name="_Toc_4_4_0000000072"/>
      <w:r>
        <w:rPr>
          <w:rFonts w:hint="eastAsia" w:ascii="方正仿宋_GBK" w:hAnsi="方正仿宋_GBK" w:eastAsia="方正仿宋_GBK" w:cs="方正仿宋_GBK"/>
          <w:sz w:val="28"/>
          <w:lang w:val="en-US" w:eastAsia="zh-CN"/>
        </w:rPr>
        <w:t>3</w:t>
      </w:r>
      <w:r>
        <w:rPr>
          <w:rFonts w:ascii="方正仿宋_GBK" w:hAnsi="方正仿宋_GBK" w:eastAsia="方正仿宋_GBK" w:cs="方正仿宋_GBK"/>
          <w:sz w:val="28"/>
        </w:rPr>
        <w:t>.市道路巡查中心2024年天津市地下市政基础设施普查外业质量检查工作服务项目绩效目标表</w:t>
      </w:r>
      <w:bookmarkEnd w:id="3"/>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326219天津市城市道路设施巡查中心</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市道路巡查中心2024年天津市地下市政基础设施普查外业质量检查工作服务项目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40.00</w:t>
            </w:r>
          </w:p>
        </w:tc>
        <w:tc>
          <w:tcPr>
            <w:tcW w:w="1587" w:type="dxa"/>
            <w:vAlign w:val="center"/>
          </w:tcPr>
          <w:p>
            <w:pPr>
              <w:pStyle w:val="16"/>
            </w:pPr>
            <w:r>
              <w:t>其中：财政    资金</w:t>
            </w:r>
          </w:p>
        </w:tc>
        <w:tc>
          <w:tcPr>
            <w:tcW w:w="1843" w:type="dxa"/>
            <w:vAlign w:val="center"/>
          </w:tcPr>
          <w:p>
            <w:pPr>
              <w:pStyle w:val="15"/>
            </w:pPr>
            <w:r>
              <w:t>40.00</w:t>
            </w:r>
          </w:p>
        </w:tc>
        <w:tc>
          <w:tcPr>
            <w:tcW w:w="1276" w:type="dxa"/>
            <w:vAlign w:val="center"/>
          </w:tcPr>
          <w:p>
            <w:pPr>
              <w:pStyle w:val="16"/>
            </w:pPr>
            <w:r>
              <w:t>其他资金</w:t>
            </w:r>
          </w:p>
        </w:tc>
        <w:tc>
          <w:tcPr>
            <w:tcW w:w="1276" w:type="dxa"/>
            <w:vAlign w:val="center"/>
          </w:tcPr>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5"/>
            </w:pPr>
            <w:r>
              <w:t>天津市地下市政基础设施普查外业质量检查工作服务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1.地下管线设施数学精度抽样检查</w:t>
            </w:r>
          </w:p>
          <w:p>
            <w:pPr>
              <w:pStyle w:val="15"/>
            </w:pPr>
            <w:r>
              <w:t>2.普查信息外业抽样核查</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地下管线设施数学精度</w:t>
            </w:r>
          </w:p>
        </w:tc>
        <w:tc>
          <w:tcPr>
            <w:tcW w:w="3430" w:type="dxa"/>
            <w:vAlign w:val="center"/>
          </w:tcPr>
          <w:p>
            <w:pPr>
              <w:pStyle w:val="15"/>
            </w:pPr>
            <w:r>
              <w:t>地下管线设施数字精度抽样检查</w:t>
            </w:r>
          </w:p>
        </w:tc>
        <w:tc>
          <w:tcPr>
            <w:tcW w:w="2551" w:type="dxa"/>
            <w:vAlign w:val="center"/>
          </w:tcPr>
          <w:p>
            <w:pPr>
              <w:pStyle w:val="15"/>
            </w:pPr>
            <w:r>
              <w:t>≤0.1百分比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数量指标</w:t>
            </w:r>
          </w:p>
        </w:tc>
        <w:tc>
          <w:tcPr>
            <w:tcW w:w="1332" w:type="dxa"/>
            <w:vAlign w:val="center"/>
          </w:tcPr>
          <w:p>
            <w:pPr>
              <w:pStyle w:val="15"/>
            </w:pPr>
            <w:r>
              <w:t>普查信息外业抽样核查率</w:t>
            </w:r>
          </w:p>
        </w:tc>
        <w:tc>
          <w:tcPr>
            <w:tcW w:w="3430" w:type="dxa"/>
            <w:vAlign w:val="center"/>
          </w:tcPr>
          <w:p>
            <w:pPr>
              <w:pStyle w:val="15"/>
            </w:pPr>
            <w:r>
              <w:t>普查信息外业抽样核查率</w:t>
            </w:r>
          </w:p>
        </w:tc>
        <w:tc>
          <w:tcPr>
            <w:tcW w:w="2551" w:type="dxa"/>
            <w:vAlign w:val="center"/>
          </w:tcPr>
          <w:p>
            <w:pPr>
              <w:pStyle w:val="15"/>
            </w:pPr>
            <w:r>
              <w:t>≤1百分比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符合我市地下市政基础设施普查的质量标准</w:t>
            </w:r>
          </w:p>
        </w:tc>
        <w:tc>
          <w:tcPr>
            <w:tcW w:w="3430" w:type="dxa"/>
            <w:vAlign w:val="center"/>
          </w:tcPr>
          <w:p>
            <w:pPr>
              <w:pStyle w:val="15"/>
            </w:pPr>
            <w:r>
              <w:t>符合我市地下市政基础设施普查的质量标准</w:t>
            </w:r>
          </w:p>
        </w:tc>
        <w:tc>
          <w:tcPr>
            <w:tcW w:w="2551" w:type="dxa"/>
            <w:vAlign w:val="center"/>
          </w:tcPr>
          <w:p>
            <w:pPr>
              <w:pStyle w:val="15"/>
            </w:pPr>
            <w:r>
              <w:t>≥90百分比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资金支付率</w:t>
            </w:r>
          </w:p>
        </w:tc>
        <w:tc>
          <w:tcPr>
            <w:tcW w:w="3430" w:type="dxa"/>
            <w:vAlign w:val="center"/>
          </w:tcPr>
          <w:p>
            <w:pPr>
              <w:pStyle w:val="15"/>
            </w:pPr>
            <w:r>
              <w:t>资金支付率</w:t>
            </w:r>
          </w:p>
        </w:tc>
        <w:tc>
          <w:tcPr>
            <w:tcW w:w="2551" w:type="dxa"/>
            <w:vAlign w:val="center"/>
          </w:tcPr>
          <w:p>
            <w:pPr>
              <w:pStyle w:val="15"/>
            </w:pPr>
            <w:r>
              <w:t>≤100百分比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严格控制预算</w:t>
            </w:r>
          </w:p>
        </w:tc>
        <w:tc>
          <w:tcPr>
            <w:tcW w:w="3430" w:type="dxa"/>
            <w:vAlign w:val="center"/>
          </w:tcPr>
          <w:p>
            <w:pPr>
              <w:pStyle w:val="15"/>
            </w:pPr>
            <w:r>
              <w:t>严格控制预算</w:t>
            </w:r>
          </w:p>
        </w:tc>
        <w:tc>
          <w:tcPr>
            <w:tcW w:w="2551" w:type="dxa"/>
            <w:vAlign w:val="center"/>
          </w:tcPr>
          <w:p>
            <w:pPr>
              <w:pStyle w:val="15"/>
            </w:pPr>
            <w:r>
              <w:t>≤40万元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提高我市地下管线管理效率</w:t>
            </w:r>
          </w:p>
        </w:tc>
        <w:tc>
          <w:tcPr>
            <w:tcW w:w="3430" w:type="dxa"/>
            <w:vAlign w:val="center"/>
          </w:tcPr>
          <w:p>
            <w:pPr>
              <w:pStyle w:val="15"/>
            </w:pPr>
            <w:r>
              <w:t>提高我市地下管线管理效率</w:t>
            </w:r>
          </w:p>
        </w:tc>
        <w:tc>
          <w:tcPr>
            <w:tcW w:w="2551" w:type="dxa"/>
            <w:vAlign w:val="center"/>
          </w:tcPr>
          <w:p>
            <w:pPr>
              <w:pStyle w:val="15"/>
            </w:pPr>
            <w:r>
              <w:t>≥80百分比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市普查办对检查成果验收通过</w:t>
            </w:r>
          </w:p>
        </w:tc>
        <w:tc>
          <w:tcPr>
            <w:tcW w:w="3430" w:type="dxa"/>
            <w:vAlign w:val="center"/>
          </w:tcPr>
          <w:p>
            <w:pPr>
              <w:pStyle w:val="15"/>
            </w:pPr>
            <w:r>
              <w:t>市普查办对检查成果验收通过</w:t>
            </w:r>
          </w:p>
        </w:tc>
        <w:tc>
          <w:tcPr>
            <w:tcW w:w="2551" w:type="dxa"/>
            <w:vAlign w:val="center"/>
          </w:tcPr>
          <w:p>
            <w:pPr>
              <w:pStyle w:val="15"/>
            </w:pPr>
            <w:r>
              <w:t>≤100百分比</w:t>
            </w:r>
          </w:p>
        </w:tc>
      </w:tr>
    </w:tbl>
    <w:p>
      <w:pPr>
        <w:sectPr>
          <w:pgSz w:w="11900" w:h="16840"/>
          <w:pgMar w:top="1984" w:right="1304" w:bottom="1134" w:left="1304" w:header="720" w:footer="720" w:gutter="0"/>
          <w:cols w:space="720" w:num="1"/>
        </w:sectPr>
      </w:pPr>
    </w:p>
    <w:p>
      <w:pPr>
        <w:jc w:val="center"/>
      </w:pPr>
    </w:p>
    <w:p>
      <w:pPr>
        <w:ind w:firstLine="560"/>
        <w:outlineLvl w:val="3"/>
      </w:pPr>
      <w:bookmarkStart w:id="4" w:name="_Toc_4_4_0000000073"/>
      <w:r>
        <w:rPr>
          <w:rFonts w:hint="eastAsia" w:ascii="方正仿宋_GBK" w:hAnsi="方正仿宋_GBK" w:eastAsia="方正仿宋_GBK" w:cs="方正仿宋_GBK"/>
          <w:sz w:val="28"/>
          <w:lang w:val="en-US" w:eastAsia="zh-CN"/>
        </w:rPr>
        <w:t>4</w:t>
      </w:r>
      <w:r>
        <w:rPr>
          <w:rFonts w:ascii="方正仿宋_GBK" w:hAnsi="方正仿宋_GBK" w:eastAsia="方正仿宋_GBK" w:cs="方正仿宋_GBK"/>
          <w:sz w:val="28"/>
        </w:rPr>
        <w:t>.市道路巡查中心2024年巡查车辆更新项目（自有资金）绩效目标表</w:t>
      </w:r>
      <w:bookmarkEnd w:id="4"/>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326219天津市城市道路设施巡查中心</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市道路巡查中心2024年巡查车辆更新项目（自有资金）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77.88</w:t>
            </w:r>
          </w:p>
        </w:tc>
        <w:tc>
          <w:tcPr>
            <w:tcW w:w="1587" w:type="dxa"/>
            <w:vAlign w:val="center"/>
          </w:tcPr>
          <w:p>
            <w:pPr>
              <w:pStyle w:val="16"/>
            </w:pPr>
            <w:r>
              <w:t>其中：财政    资金</w:t>
            </w:r>
          </w:p>
        </w:tc>
        <w:tc>
          <w:tcPr>
            <w:tcW w:w="1843" w:type="dxa"/>
            <w:vAlign w:val="center"/>
          </w:tcPr>
          <w:p>
            <w:pPr>
              <w:pStyle w:val="15"/>
            </w:pPr>
          </w:p>
        </w:tc>
        <w:tc>
          <w:tcPr>
            <w:tcW w:w="1276" w:type="dxa"/>
            <w:vAlign w:val="center"/>
          </w:tcPr>
          <w:p>
            <w:pPr>
              <w:pStyle w:val="16"/>
            </w:pPr>
            <w:r>
              <w:t>其他资金</w:t>
            </w:r>
          </w:p>
        </w:tc>
        <w:tc>
          <w:tcPr>
            <w:tcW w:w="1276" w:type="dxa"/>
            <w:vAlign w:val="center"/>
          </w:tcPr>
          <w:p>
            <w:pPr>
              <w:pStyle w:val="15"/>
            </w:pPr>
            <w:r>
              <w:t>77.88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5"/>
            </w:pPr>
            <w:r>
              <w:t>2024年巡查车辆更新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1.更新车辆购置完成</w:t>
            </w:r>
          </w:p>
          <w:p>
            <w:pPr>
              <w:pStyle w:val="15"/>
            </w:pPr>
            <w:r>
              <w:t>2.降低车辆使用过程中的安全风险</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购置车辆数</w:t>
            </w:r>
          </w:p>
        </w:tc>
        <w:tc>
          <w:tcPr>
            <w:tcW w:w="3430" w:type="dxa"/>
            <w:vAlign w:val="center"/>
          </w:tcPr>
          <w:p>
            <w:pPr>
              <w:pStyle w:val="15"/>
            </w:pPr>
            <w:r>
              <w:t>购置车辆数</w:t>
            </w:r>
          </w:p>
        </w:tc>
        <w:tc>
          <w:tcPr>
            <w:tcW w:w="2551" w:type="dxa"/>
            <w:vAlign w:val="center"/>
          </w:tcPr>
          <w:p>
            <w:pPr>
              <w:pStyle w:val="15"/>
            </w:pPr>
            <w:r>
              <w:t>6辆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车辆验收合格率</w:t>
            </w:r>
          </w:p>
        </w:tc>
        <w:tc>
          <w:tcPr>
            <w:tcW w:w="3430" w:type="dxa"/>
            <w:vAlign w:val="center"/>
          </w:tcPr>
          <w:p>
            <w:pPr>
              <w:pStyle w:val="15"/>
            </w:pPr>
            <w:r>
              <w:t>车辆验收合格率</w:t>
            </w:r>
          </w:p>
        </w:tc>
        <w:tc>
          <w:tcPr>
            <w:tcW w:w="2551" w:type="dxa"/>
            <w:vAlign w:val="center"/>
          </w:tcPr>
          <w:p>
            <w:pPr>
              <w:pStyle w:val="15"/>
            </w:pPr>
            <w:r>
              <w:t>100百分比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拨付资金及时率</w:t>
            </w:r>
          </w:p>
        </w:tc>
        <w:tc>
          <w:tcPr>
            <w:tcW w:w="3430" w:type="dxa"/>
            <w:vAlign w:val="center"/>
          </w:tcPr>
          <w:p>
            <w:pPr>
              <w:pStyle w:val="15"/>
            </w:pPr>
            <w:r>
              <w:t>拨付资金及时率</w:t>
            </w:r>
          </w:p>
        </w:tc>
        <w:tc>
          <w:tcPr>
            <w:tcW w:w="2551" w:type="dxa"/>
            <w:vAlign w:val="center"/>
          </w:tcPr>
          <w:p>
            <w:pPr>
              <w:pStyle w:val="15"/>
            </w:pPr>
            <w:r>
              <w:t>100百分比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购置车辆费用</w:t>
            </w:r>
          </w:p>
        </w:tc>
        <w:tc>
          <w:tcPr>
            <w:tcW w:w="3430" w:type="dxa"/>
            <w:vAlign w:val="center"/>
          </w:tcPr>
          <w:p>
            <w:pPr>
              <w:pStyle w:val="15"/>
            </w:pPr>
            <w:r>
              <w:t>购置车辆费用</w:t>
            </w:r>
          </w:p>
        </w:tc>
        <w:tc>
          <w:tcPr>
            <w:tcW w:w="2551" w:type="dxa"/>
            <w:vAlign w:val="center"/>
          </w:tcPr>
          <w:p>
            <w:pPr>
              <w:pStyle w:val="15"/>
            </w:pPr>
            <w:r>
              <w:t>77.88万元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5"/>
            </w:pPr>
            <w:r>
              <w:t>经济效益指标</w:t>
            </w:r>
          </w:p>
        </w:tc>
        <w:tc>
          <w:tcPr>
            <w:tcW w:w="1332" w:type="dxa"/>
            <w:vAlign w:val="center"/>
          </w:tcPr>
          <w:p>
            <w:pPr>
              <w:pStyle w:val="15"/>
            </w:pPr>
            <w:r>
              <w:t>确保道路设施巡查</w:t>
            </w:r>
          </w:p>
        </w:tc>
        <w:tc>
          <w:tcPr>
            <w:tcW w:w="3430" w:type="dxa"/>
            <w:vAlign w:val="center"/>
          </w:tcPr>
          <w:p>
            <w:pPr>
              <w:pStyle w:val="15"/>
            </w:pPr>
            <w:r>
              <w:t>确保道路设施巡查</w:t>
            </w:r>
          </w:p>
        </w:tc>
        <w:tc>
          <w:tcPr>
            <w:tcW w:w="2551" w:type="dxa"/>
            <w:vAlign w:val="center"/>
          </w:tcPr>
          <w:p>
            <w:pPr>
              <w:pStyle w:val="15"/>
            </w:pPr>
            <w:r>
              <w:t>&gt;90百分比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车辆巡查员使用满意度</w:t>
            </w:r>
          </w:p>
        </w:tc>
        <w:tc>
          <w:tcPr>
            <w:tcW w:w="3430" w:type="dxa"/>
            <w:vAlign w:val="center"/>
          </w:tcPr>
          <w:p>
            <w:pPr>
              <w:pStyle w:val="15"/>
            </w:pPr>
            <w:r>
              <w:t>车辆巡查员使用满意度</w:t>
            </w:r>
          </w:p>
        </w:tc>
        <w:tc>
          <w:tcPr>
            <w:tcW w:w="2551" w:type="dxa"/>
            <w:vAlign w:val="center"/>
          </w:tcPr>
          <w:p>
            <w:pPr>
              <w:pStyle w:val="15"/>
            </w:pPr>
            <w:r>
              <w:t>&gt;80百分比</w:t>
            </w:r>
          </w:p>
        </w:tc>
      </w:tr>
    </w:tbl>
    <w:p>
      <w:pPr>
        <w:sectPr>
          <w:pgSz w:w="11900" w:h="16840"/>
          <w:pgMar w:top="1984" w:right="1304" w:bottom="1134" w:left="1304" w:header="720" w:footer="720" w:gutter="0"/>
          <w:cols w:space="720" w:num="1"/>
        </w:sectPr>
      </w:pPr>
      <w:bookmarkStart w:id="5" w:name="_GoBack"/>
      <w:bookmarkEnd w:id="5"/>
    </w:p>
    <w:p>
      <w:pPr>
        <w:rPr>
          <w:rFonts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宋体-方正超大字符集">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I0NzY1N2E1MWE4MTNjMmJhOTAyYWNhMTE4ODFkMDMifQ=="/>
  </w:docVars>
  <w:rsids>
    <w:rsidRoot w:val="00F75335"/>
    <w:rsid w:val="000F28F7"/>
    <w:rsid w:val="00187965"/>
    <w:rsid w:val="006F2658"/>
    <w:rsid w:val="00984C9E"/>
    <w:rsid w:val="009C2D5D"/>
    <w:rsid w:val="009F4C90"/>
    <w:rsid w:val="009F7FCC"/>
    <w:rsid w:val="00F75335"/>
    <w:rsid w:val="739212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qFormat/>
    <w:uiPriority w:val="0"/>
    <w:pPr>
      <w:spacing w:before="120" w:line="240" w:lineRule="auto"/>
      <w:ind w:firstLine="0"/>
    </w:pPr>
    <w:rPr>
      <w:rFonts w:ascii="Times New Roman" w:hAnsi="Times New Roman" w:eastAsia="方正仿宋_GBK" w:cs="Times New Roman"/>
      <w:color w:val="000000"/>
      <w:sz w:val="28"/>
      <w:lang w:val="en-US"/>
    </w:rPr>
  </w:style>
  <w:style w:type="table" w:styleId="6">
    <w:name w:val="Table Grid"/>
    <w:basedOn w:val="5"/>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8">
    <w:name w:val="页眉 Char"/>
    <w:basedOn w:val="7"/>
    <w:link w:val="3"/>
    <w:semiHidden/>
    <w:uiPriority w:val="99"/>
    <w:rPr>
      <w:sz w:val="18"/>
      <w:szCs w:val="18"/>
    </w:rPr>
  </w:style>
  <w:style w:type="character" w:customStyle="1" w:styleId="9">
    <w:name w:val="页脚 Char"/>
    <w:basedOn w:val="7"/>
    <w:link w:val="2"/>
    <w:semiHidden/>
    <w:uiPriority w:val="99"/>
    <w:rPr>
      <w:sz w:val="18"/>
      <w:szCs w:val="18"/>
    </w:rPr>
  </w:style>
  <w:style w:type="paragraph" w:customStyle="1" w:styleId="10">
    <w:name w:val="插入文本样式-插入总体目标文件"/>
    <w:basedOn w:val="1"/>
    <w:qFormat/>
    <w:uiPriority w:val="0"/>
    <w:pPr>
      <w:spacing w:line="500" w:lineRule="exact"/>
      <w:ind w:firstLine="560"/>
    </w:pPr>
    <w:rPr>
      <w:rFonts w:eastAsia="方正仿宋_GBK"/>
      <w:sz w:val="28"/>
    </w:rPr>
  </w:style>
  <w:style w:type="paragraph" w:customStyle="1" w:styleId="11">
    <w:name w:val="插入文本样式-插入职责分类绩效目标文件"/>
    <w:basedOn w:val="1"/>
    <w:qFormat/>
    <w:uiPriority w:val="0"/>
    <w:pPr>
      <w:spacing w:line="500" w:lineRule="exact"/>
      <w:ind w:firstLine="560"/>
    </w:pPr>
    <w:rPr>
      <w:rFonts w:eastAsia="方正仿宋_GBK"/>
      <w:sz w:val="28"/>
    </w:rPr>
  </w:style>
  <w:style w:type="paragraph" w:customStyle="1" w:styleId="12">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13">
    <w:name w:val="单元格样式4"/>
    <w:basedOn w:val="1"/>
    <w:qFormat/>
    <w:uiPriority w:val="0"/>
    <w:pPr>
      <w:jc w:val="right"/>
    </w:pPr>
    <w:rPr>
      <w:rFonts w:ascii="方正书宋_GBK" w:hAnsi="方正书宋_GBK" w:eastAsia="方正书宋_GBK" w:cs="方正书宋_GBK"/>
      <w:sz w:val="21"/>
    </w:rPr>
  </w:style>
  <w:style w:type="paragraph" w:customStyle="1" w:styleId="14">
    <w:name w:val="单元格样式5"/>
    <w:basedOn w:val="1"/>
    <w:qFormat/>
    <w:uiPriority w:val="0"/>
    <w:rPr>
      <w:rFonts w:ascii="方正书宋_GBK" w:hAnsi="方正书宋_GBK" w:eastAsia="方正书宋_GBK" w:cs="方正书宋_GBK"/>
      <w:b/>
      <w:sz w:val="21"/>
    </w:rPr>
  </w:style>
  <w:style w:type="paragraph" w:customStyle="1" w:styleId="15">
    <w:name w:val="单元格样式2"/>
    <w:basedOn w:val="1"/>
    <w:qFormat/>
    <w:uiPriority w:val="0"/>
    <w:rPr>
      <w:rFonts w:ascii="方正书宋_GBK" w:hAnsi="方正书宋_GBK" w:eastAsia="方正书宋_GBK" w:cs="方正书宋_GBK"/>
      <w:sz w:val="21"/>
    </w:rPr>
  </w:style>
  <w:style w:type="paragraph" w:customStyle="1" w:styleId="16">
    <w:name w:val="单元格样式1"/>
    <w:basedOn w:val="1"/>
    <w:qFormat/>
    <w:uiPriority w:val="0"/>
    <w:pPr>
      <w:jc w:val="center"/>
    </w:pPr>
    <w:rPr>
      <w:rFonts w:ascii="方正书宋_GBK" w:hAnsi="方正书宋_GBK" w:eastAsia="方正书宋_GBK" w:cs="方正书宋_GBK"/>
      <w:b/>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paragraph" w:customStyle="1" w:styleId="18">
    <w:name w:val="TOC 2"/>
    <w:basedOn w:val="1"/>
    <w:qFormat/>
    <w:uiPriority w:val="0"/>
    <w:pPr>
      <w:ind w:left="240"/>
    </w:pPr>
  </w:style>
  <w:style w:type="paragraph" w:customStyle="1" w:styleId="19">
    <w:name w:val="TOC 4"/>
    <w:basedOn w:val="1"/>
    <w:qFormat/>
    <w:uiPriority w:val="0"/>
    <w:pPr>
      <w:ind w:left="720"/>
    </w:pPr>
  </w:style>
  <w:style w:type="paragraph" w:customStyle="1" w:styleId="20">
    <w:name w:val="TOC 1"/>
    <w:basedOn w:val="1"/>
    <w:qFormat/>
    <w:uiPriority w:val="0"/>
    <w:pPr>
      <w:spacing w:before="120"/>
    </w:pPr>
    <w:rPr>
      <w:rFonts w:eastAsia="方正仿宋_GBK"/>
      <w:color w:val="000000"/>
      <w:sz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302</Words>
  <Characters>1723</Characters>
  <Lines>14</Lines>
  <Paragraphs>4</Paragraphs>
  <TotalTime>1</TotalTime>
  <ScaleCrop>false</ScaleCrop>
  <LinksUpToDate>false</LinksUpToDate>
  <CharactersWithSpaces>2021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2024-02-20T07:32:00Z</dcterms:created>
  <dc:creator>dell</dc:creator>
  <cp:lastModifiedBy>未定义</cp:lastModifiedBy>
  <dcterms:modified xsi:type="dcterms:W3CDTF">2024-03-11T07:39:38Z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B336F7556E6F42A2A1D103B09A17EA6A_12</vt:lpwstr>
  </property>
</Properties>
</file>