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A61A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F7CF8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B1679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03EC83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612B84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0BF324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E63195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4B63D8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B80B38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天津市南翠屏公园管理所</w:t>
      </w:r>
    </w:p>
    <w:p w14:paraId="1F8B543D">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2DDB0E5">
      <w:pPr>
        <w:autoSpaceDE w:val="0"/>
        <w:autoSpaceDN w:val="0"/>
        <w:adjustRightInd w:val="0"/>
        <w:spacing w:line="580" w:lineRule="exact"/>
        <w:jc w:val="center"/>
        <w:rPr>
          <w:rFonts w:ascii="Times New Roman" w:hAnsi="Times New Roman" w:eastAsia="黑体" w:cs="黑体"/>
          <w:sz w:val="30"/>
          <w:szCs w:val="30"/>
          <w:highlight w:val="none"/>
        </w:rPr>
      </w:pPr>
    </w:p>
    <w:p w14:paraId="39D5E4F2">
      <w:pPr>
        <w:autoSpaceDE w:val="0"/>
        <w:autoSpaceDN w:val="0"/>
        <w:adjustRightInd w:val="0"/>
        <w:spacing w:line="580" w:lineRule="exact"/>
        <w:jc w:val="center"/>
        <w:rPr>
          <w:rFonts w:ascii="Times New Roman" w:hAnsi="Times New Roman" w:eastAsia="黑体" w:cs="黑体"/>
          <w:sz w:val="30"/>
          <w:szCs w:val="30"/>
          <w:highlight w:val="none"/>
        </w:rPr>
      </w:pPr>
    </w:p>
    <w:p w14:paraId="1B8943EE">
      <w:pPr>
        <w:autoSpaceDE w:val="0"/>
        <w:autoSpaceDN w:val="0"/>
        <w:adjustRightInd w:val="0"/>
        <w:spacing w:line="580" w:lineRule="exact"/>
        <w:jc w:val="center"/>
        <w:rPr>
          <w:rFonts w:ascii="Times New Roman" w:hAnsi="Times New Roman" w:eastAsia="黑体" w:cs="黑体"/>
          <w:sz w:val="30"/>
          <w:szCs w:val="30"/>
          <w:highlight w:val="none"/>
        </w:rPr>
      </w:pPr>
    </w:p>
    <w:p w14:paraId="00B15C12">
      <w:pPr>
        <w:autoSpaceDE w:val="0"/>
        <w:autoSpaceDN w:val="0"/>
        <w:adjustRightInd w:val="0"/>
        <w:spacing w:line="580" w:lineRule="exact"/>
        <w:jc w:val="center"/>
        <w:rPr>
          <w:rFonts w:ascii="Times New Roman" w:hAnsi="Times New Roman" w:eastAsia="黑体" w:cs="黑体"/>
          <w:sz w:val="30"/>
          <w:szCs w:val="30"/>
          <w:highlight w:val="none"/>
        </w:rPr>
      </w:pPr>
    </w:p>
    <w:p w14:paraId="4240891D">
      <w:pPr>
        <w:autoSpaceDE w:val="0"/>
        <w:autoSpaceDN w:val="0"/>
        <w:adjustRightInd w:val="0"/>
        <w:spacing w:line="580" w:lineRule="exact"/>
        <w:jc w:val="center"/>
        <w:rPr>
          <w:rFonts w:ascii="Times New Roman" w:hAnsi="Times New Roman" w:eastAsia="黑体" w:cs="黑体"/>
          <w:sz w:val="30"/>
          <w:szCs w:val="30"/>
          <w:highlight w:val="none"/>
        </w:rPr>
      </w:pPr>
    </w:p>
    <w:p w14:paraId="6266DA5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8296377">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2A4D8E9F">
      <w:pPr>
        <w:autoSpaceDE w:val="0"/>
        <w:autoSpaceDN w:val="0"/>
        <w:adjustRightInd w:val="0"/>
        <w:spacing w:line="600" w:lineRule="exact"/>
        <w:jc w:val="left"/>
        <w:rPr>
          <w:rFonts w:ascii="Times New Roman" w:hAnsi="Times New Roman" w:eastAsia="黑体" w:cs="黑体"/>
          <w:kern w:val="0"/>
          <w:sz w:val="30"/>
          <w:szCs w:val="30"/>
          <w:highlight w:val="none"/>
        </w:rPr>
      </w:pPr>
    </w:p>
    <w:p w14:paraId="1B74DAD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922C6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78DD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7633E2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4557A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D35D1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8FD87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F1AD4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5027C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84C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2CAF6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AEBE6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66206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5694A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F1B9A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0921B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D37271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018AE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EC5B5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6EDAE3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A56C5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E5B19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33D3A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4CEA9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7FD0E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28C19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F9BC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D77B3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89CD4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7BA5F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55AB3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C6A6ED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D04FB21">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94B966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52B238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6F1E24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主要职责为承担南翠屏公园的发展规划并组织实施，公园的基础设施、园容园貌建设和日常维护管理；负责公园植物栽培与养护，园艺技术研究；负责公园的经营服务管理、安全管理和资产管理；负责园内文化旅游、休闲与娱乐项目组织管理和相关社会服务等。</w:t>
      </w:r>
    </w:p>
    <w:p w14:paraId="06D41C1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6547DF8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天津市南翠屏公园管理所内设7个职能处室；下辖0个预算单位。纳入天津市南翠屏公园管理所2023年度部门决算编制范围的单位包括：</w:t>
      </w:r>
    </w:p>
    <w:p w14:paraId="6813C39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天津市南翠屏公园管理所</w:t>
      </w:r>
    </w:p>
    <w:p w14:paraId="79FF3345">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31187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199D58F0">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DD036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00FA3D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3AAC09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3FE5C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C1446D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D8BCCF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5AC107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0D3F2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19275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95346C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1D87A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70D248B">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3E4B9A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1、天津市南翠屏公园管理所2023年度国有资本经营预算财政拨款收入支出决算表为空表。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2、天津市南翠屏公园管理所2023年度财政拨款“三公”经费支出决算表为空表。</w:t>
      </w:r>
    </w:p>
    <w:p w14:paraId="6CB70F7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B9591C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574FDF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E3E5EE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196DED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4A4661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65D3CD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32AF6A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DB4BCA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CF0CB9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EDA442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A87832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7D01F6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8259E4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79DD6E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BE3391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3ABE9A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3E195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FD2F67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天津市南翠屏公园管理所2023年度收入、支出决算总计</w:t>
      </w:r>
      <w:r>
        <w:rPr>
          <w:rFonts w:hint="eastAsia" w:ascii="Times New Roman" w:hAnsi="Times New Roman" w:eastAsia="仿宋_GB2312" w:cs="仿宋_GB2312"/>
          <w:sz w:val="30"/>
          <w:szCs w:val="30"/>
          <w:highlight w:val="none"/>
          <w:lang w:eastAsia="zh-CN"/>
        </w:rPr>
        <w:t>42,430,845.65元，与2022年度相比，收、支总计各增加8,165,605.46元，增长23.83%，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：2023年增加了财政项目收支。</w:t>
      </w:r>
    </w:p>
    <w:p w14:paraId="4C0514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3C3721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42,430,845.65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增加8,424,083.92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2023年增加了财政项目收入  。</w:t>
      </w:r>
    </w:p>
    <w:p w14:paraId="0FE5A1E9">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22,728,438.62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53.57</w:t>
      </w:r>
      <w:r>
        <w:rPr>
          <w:rFonts w:hint="eastAsia" w:ascii="Times New Roman" w:hAnsi="Times New Roman" w:eastAsia="宋体" w:cs="Times New Roman"/>
          <w:sz w:val="30"/>
          <w:szCs w:val="30"/>
          <w:highlight w:val="none"/>
          <w:lang w:eastAsia="zh-CN"/>
        </w:rPr>
        <w:t>%；</w:t>
      </w:r>
    </w:p>
    <w:p w14:paraId="0F7547E2">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9,222,997.93元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21.74%；</w:t>
      </w:r>
    </w:p>
    <w:p w14:paraId="3B53BD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1,847,346.90元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4.35%；</w:t>
      </w:r>
    </w:p>
    <w:p w14:paraId="0AC1A3E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8,632,062.20元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20.34%</w:t>
      </w:r>
      <w:r>
        <w:rPr>
          <w:rFonts w:hint="eastAsia" w:ascii="Times New Roman" w:hAnsi="Times New Roman" w:eastAsia="仿宋_GB2312" w:cs="仿宋_GB2312"/>
          <w:sz w:val="30"/>
          <w:szCs w:val="30"/>
          <w:highlight w:val="none"/>
          <w:lang w:val="zh-CN" w:eastAsia="zh-CN"/>
        </w:rPr>
        <w:t>。</w:t>
      </w:r>
    </w:p>
    <w:p w14:paraId="47EDCA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1227EE0E">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42,430,845.65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8,165,605.46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2023年增加了财政项目支出。</w:t>
      </w:r>
    </w:p>
    <w:p w14:paraId="1D76CD2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30,388,409.10元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71.62</w:t>
      </w:r>
      <w:r>
        <w:rPr>
          <w:rFonts w:hint="eastAsia" w:ascii="Times New Roman" w:hAnsi="Times New Roman" w:eastAsia="仿宋_GB2312" w:cs="仿宋_GB2312"/>
          <w:sz w:val="30"/>
          <w:szCs w:val="30"/>
          <w:highlight w:val="none"/>
          <w:lang w:eastAsia="zh-CN"/>
        </w:rPr>
        <w:t>%；</w:t>
      </w:r>
    </w:p>
    <w:p w14:paraId="7867599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12,042,436.55元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占28.38%。</w:t>
      </w:r>
    </w:p>
    <w:p w14:paraId="210D2C0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2EDDA6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天津市南翠屏公园管理所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31,951,436.55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8,507,536.55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36.29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2023年增加了财政项目收支。</w:t>
      </w:r>
    </w:p>
    <w:p w14:paraId="0E02EFC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D243B7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4C0B752">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计22,728,438.62元，占本年支出合计的53.57%，与2022年度相比，一般公共预算财政拨款支出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3,284,538.62元，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16.89%，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：2023年增加了一般公共预算财政项目支出。</w:t>
      </w:r>
    </w:p>
    <w:p w14:paraId="555440D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786711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22,728,438.62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社会保障和就业支出2,475,000.00元，占10.89%；卫生健康支出957,000.00元，占4.21%；城乡社区支出19,296,438.62元，占84.9%。</w:t>
      </w:r>
    </w:p>
    <w:p w14:paraId="770D2AB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AD549E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19,245,000.00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22,728,438.62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118.1</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2D9AAF95">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1.社会保障和就业支出（类）行政事业单位养老支出（款）机关事业单位基本养老保险缴费支出（项）年初预算为1,650,000.00元，支出决算为1,650,000.00元，完成年初预算的100.00%。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社会保障和就业支出(类)行政事业单位养老支出(款)机关事业单位职业年金缴费支出(项)年初预算为825,000.00元，支出决算为825,000.00元，完成年初预算的100.00%。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卫生健康支出(类)行政事业单位医疗(款)事业单位医疗(项)年初预算为541,000.00元，支出决算为566,000.00元，完成年初预算的104.62%，决算数大于年初预算数的主要原因是追加公园离休干部医药费支出。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卫生健康支出(类)行政事业单位医疗(款)其他行政事业单位医疗支出(项)年初预算为358,000.00元，支出决算为358,000.00元，完成年初预算的100.00%。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卫生健康支出(类)行政事业单位医疗(款)行政单位医疗(项)年初预算为0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rPr>
        <w:t>追加预算</w:t>
      </w:r>
      <w:r>
        <w:rPr>
          <w:rFonts w:hint="eastAsia" w:ascii="Times New Roman" w:hAnsi="Times New Roman" w:eastAsia="仿宋_GB2312" w:cs="仿宋_GB2312"/>
          <w:sz w:val="30"/>
          <w:szCs w:val="30"/>
          <w:highlight w:val="none"/>
          <w:lang w:eastAsia="zh-CN"/>
        </w:rPr>
        <w:t>33,000.00元，支出决算为33,000.00元，</w:t>
      </w:r>
      <w:r>
        <w:rPr>
          <w:rFonts w:hint="eastAsia" w:ascii="Times New Roman" w:hAnsi="Times New Roman" w:eastAsia="仿宋_GB2312" w:cs="仿宋_GB2312"/>
          <w:sz w:val="30"/>
          <w:szCs w:val="30"/>
        </w:rPr>
        <w:t>完成追加预算的100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%，决算数等于追加预算数的主要原因</w:t>
      </w:r>
      <w:r>
        <w:rPr>
          <w:rFonts w:hint="eastAsia" w:ascii="Times New Roman" w:hAnsi="Times New Roman" w:eastAsia="仿宋_GB2312" w:cs="仿宋_GB2312"/>
          <w:sz w:val="30"/>
          <w:szCs w:val="30"/>
          <w:highlight w:val="none"/>
          <w:lang w:eastAsia="zh-CN"/>
        </w:rPr>
        <w:t>是追加公园离休干部医药费支出</w:t>
      </w:r>
      <w:r>
        <w:rPr>
          <w:rFonts w:hint="eastAsia" w:ascii="Times New Roman" w:hAnsi="Times New Roman" w:eastAsia="仿宋_GB2312" w:cs="仿宋_GB2312"/>
          <w:sz w:val="30"/>
          <w:szCs w:val="30"/>
          <w:highlight w:val="none"/>
          <w:lang w:val="en-US" w:eastAsia="zh-CN"/>
        </w:rPr>
        <w:t>预算</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城乡社区支出(类)城乡社区管理事务(款)其他城乡社区管理事务支出(项)年初预算为223,000.00元，支出决算为472,806.00元，完成年初预算的212.02%,决算数大于年初预算数的主要原因是追加公园离休干部抚恤金支出。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城乡社区支出(类)城乡社区公共设施(款)其他城乡社区公共设施支出(项)年初预算为15,648,000.00元，支出决算为18,823,632.62元，完成年初预算的120.29%，决算数大于年初预算数的主要原因是追加一般公共预算财政拨款</w:t>
      </w:r>
      <w:r>
        <w:rPr>
          <w:rFonts w:hint="eastAsia" w:ascii="Times New Roman" w:hAnsi="Times New Roman" w:eastAsia="仿宋_GB2312" w:cs="仿宋_GB2312"/>
          <w:sz w:val="30"/>
          <w:szCs w:val="30"/>
          <w:highlight w:val="none"/>
          <w:lang w:val="en-US" w:eastAsia="zh-CN"/>
        </w:rPr>
        <w:t>项目预算</w:t>
      </w:r>
      <w:r>
        <w:rPr>
          <w:rFonts w:hint="eastAsia" w:ascii="Times New Roman" w:hAnsi="Times New Roman" w:eastAsia="仿宋_GB2312" w:cs="仿宋_GB2312"/>
          <w:sz w:val="30"/>
          <w:szCs w:val="30"/>
          <w:highlight w:val="none"/>
          <w:lang w:eastAsia="zh-CN"/>
        </w:rPr>
        <w:t>。</w:t>
      </w:r>
    </w:p>
    <w:p w14:paraId="5C25376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7601324">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天津市南翠屏公园管理所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19,909,000.00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725,000.00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2023年增加分流人员，财政拨款基本支出增加。</w:t>
      </w:r>
      <w:r>
        <w:rPr>
          <w:rFonts w:hint="eastAsia" w:ascii="Times New Roman" w:hAnsi="Times New Roman" w:eastAsia="仿宋_GB2312" w:cs="仿宋_GB2312"/>
          <w:kern w:val="0"/>
          <w:sz w:val="30"/>
          <w:szCs w:val="30"/>
          <w:highlight w:val="none"/>
        </w:rPr>
        <w:t>其中：</w:t>
      </w:r>
    </w:p>
    <w:p w14:paraId="0503A2CA">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18,614,000.00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基本工资、津贴补贴、绩效工资、机关事业单位基本养老保险缴费、职业年金缴费、职工基本医疗保险缴费、其他社会保障缴费、住房公积金、离休费、退休费、医疗费补助。</w:t>
      </w:r>
    </w:p>
    <w:p w14:paraId="1869B9C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1,295,000.00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办公费、咨询费、水费、电费、维修(护)费、专用材料费、委托业务费、工会经费。</w:t>
      </w:r>
    </w:p>
    <w:p w14:paraId="5B32D6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21DA513">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天津市南翠屏公园管理所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9,222,997.93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9,222,997.93</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5,222,997.93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130.57%</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2023年增加了政府性基金财政项目拨款收支。</w:t>
      </w:r>
    </w:p>
    <w:p w14:paraId="5D40A6B2">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val="en-US" w:eastAsia="zh-CN"/>
        </w:rPr>
        <w:tab/>
      </w:r>
    </w:p>
    <w:p w14:paraId="4C92E39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B138E6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天津市南翠屏公园管理所2023年度无国有资本经营预算财政拨款收入、支出和结转结余。</w:t>
      </w:r>
    </w:p>
    <w:p w14:paraId="21DBBBE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A1B4A72">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573D31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本年度未用财政拨款经费列支“三公”经费。</w:t>
      </w:r>
    </w:p>
    <w:p w14:paraId="010A8F6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FFAAAE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本年度未用财政拨款经费列支因公出国（境）费。</w:t>
      </w:r>
    </w:p>
    <w:p w14:paraId="1785D98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EA6024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374B3F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本年度未用财政拨款经费列支公务用车运行维护费。</w:t>
      </w:r>
    </w:p>
    <w:p w14:paraId="4E9C88E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C8F571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本年度未用财政拨款经费列支公务用车购置费。</w:t>
      </w:r>
    </w:p>
    <w:p w14:paraId="0D65B54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8DD10B4">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本年度未用财政拨款经费列支公务接待费。</w:t>
      </w:r>
    </w:p>
    <w:p w14:paraId="59A8430D">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206E6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0CD1B6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天津市南翠屏公园管理所2023年度无机关运行经费。</w:t>
      </w:r>
    </w:p>
    <w:p w14:paraId="491123F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3BF5AE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天津市南翠屏公园管理所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4,024,041.00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9,927.00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4,014,114.00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4,024,041.00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4,024,041.00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3750393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298A5A2">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天津市南翠屏公园管理所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其他用车主要包括一般公务用车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台（套）。</w:t>
      </w:r>
    </w:p>
    <w:p w14:paraId="621A572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888EBF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根据预算绩效管理要求，天津市南翠屏公园管理所2023年度已对</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Times New Roman"/>
          <w:kern w:val="0"/>
          <w:sz w:val="30"/>
          <w:szCs w:val="30"/>
          <w:highlight w:val="none"/>
          <w:lang w:eastAsia="zh-CN"/>
        </w:rPr>
        <w:t>,</w:t>
      </w:r>
      <w:bookmarkStart w:id="0" w:name="_GoBack"/>
      <w:bookmarkEnd w:id="0"/>
      <w:r>
        <w:rPr>
          <w:rFonts w:hint="eastAsia" w:ascii="Times New Roman" w:hAnsi="Times New Roman" w:eastAsia="仿宋_GB2312" w:cs="仿宋_GB2312"/>
          <w:sz w:val="30"/>
          <w:szCs w:val="30"/>
          <w:highlight w:val="none"/>
          <w:lang w:val="en-US" w:eastAsia="zh-CN"/>
        </w:rPr>
        <w:t>020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sz w:val="30"/>
          <w:szCs w:val="30"/>
          <w:highlight w:val="none"/>
          <w:lang w:val="en-US" w:eastAsia="zh-CN"/>
        </w:rPr>
        <w:t>633.00</w:t>
      </w:r>
      <w:r>
        <w:rPr>
          <w:rFonts w:hint="eastAsia" w:ascii="Times New Roman" w:hAnsi="Times New Roman" w:eastAsia="仿宋_GB2312" w:cs="仿宋_GB2312"/>
          <w:sz w:val="30"/>
          <w:szCs w:val="30"/>
          <w:highlight w:val="none"/>
          <w:lang w:eastAsia="zh-CN"/>
        </w:rPr>
        <w:t>元，自评结果已随部门决算一并公开。</w:t>
      </w:r>
    </w:p>
    <w:p w14:paraId="24920DE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C0CF43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天津市南翠屏公园管理所不属于乡、镇、街级单位，不涉及公开2023年度教育、医疗卫生、社会保障和就业、住房保障、涉农补贴等民生支出情况。</w:t>
      </w:r>
    </w:p>
    <w:p w14:paraId="6C6C49C8">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B74B9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48DAF2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50272E2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B6ADF3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4AED397">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AA2EC6"/>
    <w:rsid w:val="0AF018E5"/>
    <w:rsid w:val="0B1428B6"/>
    <w:rsid w:val="0B2716A6"/>
    <w:rsid w:val="0B2E72C7"/>
    <w:rsid w:val="0B907F82"/>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4382FEB"/>
    <w:rsid w:val="15001CD4"/>
    <w:rsid w:val="15F1161D"/>
    <w:rsid w:val="161D1413"/>
    <w:rsid w:val="1666200B"/>
    <w:rsid w:val="16C5644A"/>
    <w:rsid w:val="16D76A65"/>
    <w:rsid w:val="17023320"/>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5BC2F07"/>
    <w:rsid w:val="2666570F"/>
    <w:rsid w:val="26DB4B05"/>
    <w:rsid w:val="271B299E"/>
    <w:rsid w:val="27DD7C53"/>
    <w:rsid w:val="284E3F62"/>
    <w:rsid w:val="28612632"/>
    <w:rsid w:val="2A924D25"/>
    <w:rsid w:val="2BC20F83"/>
    <w:rsid w:val="2C800474"/>
    <w:rsid w:val="2C8F0671"/>
    <w:rsid w:val="2D5A0475"/>
    <w:rsid w:val="2DA05507"/>
    <w:rsid w:val="2E124403"/>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7729F5"/>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676A97"/>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546EE9"/>
    <w:rsid w:val="5236167C"/>
    <w:rsid w:val="52A37398"/>
    <w:rsid w:val="53C102A5"/>
    <w:rsid w:val="54380029"/>
    <w:rsid w:val="54A61249"/>
    <w:rsid w:val="54F16968"/>
    <w:rsid w:val="55AC416B"/>
    <w:rsid w:val="564C0516"/>
    <w:rsid w:val="5713248B"/>
    <w:rsid w:val="57833AC4"/>
    <w:rsid w:val="578735B4"/>
    <w:rsid w:val="58C3061C"/>
    <w:rsid w:val="58DE1F85"/>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2F4F2E"/>
    <w:rsid w:val="79B7155B"/>
    <w:rsid w:val="79DC07A5"/>
    <w:rsid w:val="7ACA53E2"/>
    <w:rsid w:val="7B143565"/>
    <w:rsid w:val="7DD935F2"/>
    <w:rsid w:val="7E2E7A36"/>
    <w:rsid w:val="7E703A39"/>
    <w:rsid w:val="7ED87CE6"/>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15</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2024-09-05T06:22:13Z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