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天津市城市管理综合行政执法总队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天津市城市管理综合行政执法总队</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天津市城市管理综合行政执法总队，为天津市城市管理委员会管理的行政执法机构，以天津市城市管理委员会名义实行统一执法，同时接受天津市公用事业管理局业务指导。主要职责： （一）贯彻实施国家和本市关于城市管理综合行政执法的方针政策、法律法规，参与起草涉及城市管理综合行政执法的地方性法规、规章、规范性文件和政策。 （二）负责法律法规明确省级承担的有关行政处罚及与之相关的行政检查、行政强制。组织协调城市管理领域重大复杂案件查处和跨区域行政执法工作，组织开展城市管理领域全市统一执法专项活动。 （三）负责市管城市道路、桥梁、地（隧）道等方面违法行为的行政执法。 （四）负责对市级审批燃气企业违法行为的行政执法。 （五）负责对建设单位违反供热专项规划违法行为以及跨区域供热违法行为的行政执法。 （六）负责市直管区域的园林绿化、市容市貌、环境卫生等方面的行政执法。 （七）负责组织推进城市管理综合行政执法队伍标准化、规范化建设，负责组织城市管理综合行政执法宣传教育和人员培训工作。 （八）指导各区城市管理综合行政执法工作，提出城市管理领域行政执法信息化的意见。 （九）完成市城市管理委员会交办的其他相关执法工作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天津市城市管理综合行政执法总队内设3个职能科室，4个支队，下辖0个预算单位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天津市城市管理综合行政执法总队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1.天津市城市管理综合行政执法总队。</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21,213,408.85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106,759.20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2,113,297.47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979,675.00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332.19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18,229,764.50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21,320,500.24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21,322,736.97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4,194.92</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1,958.19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4,194.92</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21,324,695.16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21,324,695.16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21,320,500.24</w:t>
            </w:r>
          </w:p>
        </w:tc>
        <w:tc>
          <w:tcPr>
            <w:tcW w:w="1240" w:type="dxa"/>
            <w:tcBorders/>
            <w:vAlign w:val="center"/>
          </w:tcPr>
          <w:p>
            <w:pPr>
              <w:snapToGrid w:val="0"/>
              <w:jc w:val="right"/>
            </w:pPr>
            <w:r>
              <w:rPr>
                <w:rFonts w:ascii="宋体" w:eastAsia="宋体" w:hAnsi="宋体" w:cs="宋体"/>
                <w:b w:val="0"/>
                <w:i w:val="0"/>
                <w:color w:val="000000"/>
                <w:sz w:val="14"/>
              </w:rPr>
              <w:t xml:space="preserve">21,320,168.05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332.19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2,113,297.47</w:t>
            </w:r>
          </w:p>
        </w:tc>
        <w:tc>
          <w:tcPr>
            <w:tcW w:w="1240" w:type="dxa"/>
            <w:tcBorders/>
            <w:vAlign w:val="center"/>
          </w:tcPr>
          <w:p>
            <w:pPr>
              <w:snapToGrid w:val="0"/>
              <w:jc w:val="right"/>
            </w:pPr>
            <w:r>
              <w:rPr>
                <w:rFonts w:ascii="宋体" w:eastAsia="宋体" w:hAnsi="宋体" w:cs="宋体"/>
                <w:b w:val="0"/>
                <w:i w:val="0"/>
                <w:color w:val="000000"/>
                <w:sz w:val="14"/>
              </w:rPr>
              <w:t xml:space="preserve">2,113,297.47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2,113,297.47</w:t>
            </w:r>
          </w:p>
        </w:tc>
        <w:tc>
          <w:tcPr>
            <w:tcW w:w="1240" w:type="dxa"/>
            <w:tcBorders/>
            <w:vAlign w:val="center"/>
          </w:tcPr>
          <w:p>
            <w:pPr>
              <w:snapToGrid w:val="0"/>
              <w:jc w:val="right"/>
            </w:pPr>
            <w:r>
              <w:rPr>
                <w:rFonts w:ascii="宋体" w:eastAsia="宋体" w:hAnsi="宋体" w:cs="宋体"/>
                <w:b w:val="0"/>
                <w:i w:val="0"/>
                <w:color w:val="000000"/>
                <w:sz w:val="14"/>
              </w:rPr>
              <w:t xml:space="preserve">2,113,297.47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1,366,813.00</w:t>
            </w:r>
          </w:p>
        </w:tc>
        <w:tc>
          <w:tcPr>
            <w:tcW w:w="1240" w:type="dxa"/>
            <w:tcBorders/>
            <w:vAlign w:val="center"/>
          </w:tcPr>
          <w:p>
            <w:pPr>
              <w:snapToGrid w:val="0"/>
              <w:jc w:val="right"/>
            </w:pPr>
            <w:r>
              <w:rPr>
                <w:rFonts w:ascii="宋体" w:eastAsia="宋体" w:hAnsi="宋体" w:cs="宋体"/>
                <w:b w:val="0"/>
                <w:i w:val="0"/>
                <w:color w:val="000000"/>
                <w:sz w:val="14"/>
              </w:rPr>
              <w:t xml:space="preserve">1,366,813.00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746,484.47</w:t>
            </w:r>
          </w:p>
        </w:tc>
        <w:tc>
          <w:tcPr>
            <w:tcW w:w="1240" w:type="dxa"/>
            <w:tcBorders/>
            <w:vAlign w:val="center"/>
          </w:tcPr>
          <w:p>
            <w:pPr>
              <w:snapToGrid w:val="0"/>
              <w:jc w:val="right"/>
            </w:pPr>
            <w:r>
              <w:rPr>
                <w:rFonts w:ascii="宋体" w:eastAsia="宋体" w:hAnsi="宋体" w:cs="宋体"/>
                <w:b w:val="0"/>
                <w:i w:val="0"/>
                <w:color w:val="000000"/>
                <w:sz w:val="14"/>
              </w:rPr>
              <w:t xml:space="preserve">746,484.47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979,675.00</w:t>
            </w:r>
          </w:p>
        </w:tc>
        <w:tc>
          <w:tcPr>
            <w:tcW w:w="1240" w:type="dxa"/>
            <w:tcBorders/>
            <w:vAlign w:val="center"/>
          </w:tcPr>
          <w:p>
            <w:pPr>
              <w:snapToGrid w:val="0"/>
              <w:jc w:val="right"/>
            </w:pPr>
            <w:r>
              <w:rPr>
                <w:rFonts w:ascii="宋体" w:eastAsia="宋体" w:hAnsi="宋体" w:cs="宋体"/>
                <w:b w:val="0"/>
                <w:i w:val="0"/>
                <w:color w:val="000000"/>
                <w:sz w:val="14"/>
              </w:rPr>
              <w:t xml:space="preserve">979,675.00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979,675.00</w:t>
            </w:r>
          </w:p>
        </w:tc>
        <w:tc>
          <w:tcPr>
            <w:tcW w:w="1240" w:type="dxa"/>
            <w:tcBorders/>
            <w:vAlign w:val="center"/>
          </w:tcPr>
          <w:p>
            <w:pPr>
              <w:snapToGrid w:val="0"/>
              <w:jc w:val="right"/>
            </w:pPr>
            <w:r>
              <w:rPr>
                <w:rFonts w:ascii="宋体" w:eastAsia="宋体" w:hAnsi="宋体" w:cs="宋体"/>
                <w:b w:val="0"/>
                <w:i w:val="0"/>
                <w:color w:val="000000"/>
                <w:sz w:val="14"/>
              </w:rPr>
              <w:t xml:space="preserve">979,675.00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809,140.00</w:t>
            </w:r>
          </w:p>
        </w:tc>
        <w:tc>
          <w:tcPr>
            <w:tcW w:w="1240" w:type="dxa"/>
            <w:tcBorders/>
            <w:vAlign w:val="center"/>
          </w:tcPr>
          <w:p>
            <w:pPr>
              <w:snapToGrid w:val="0"/>
              <w:jc w:val="right"/>
            </w:pPr>
            <w:r>
              <w:rPr>
                <w:rFonts w:ascii="宋体" w:eastAsia="宋体" w:hAnsi="宋体" w:cs="宋体"/>
                <w:b w:val="0"/>
                <w:i w:val="0"/>
                <w:color w:val="000000"/>
                <w:sz w:val="14"/>
              </w:rPr>
              <w:t xml:space="preserve">809,140.00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170,535.00</w:t>
            </w:r>
          </w:p>
        </w:tc>
        <w:tc>
          <w:tcPr>
            <w:tcW w:w="1240" w:type="dxa"/>
            <w:tcBorders/>
            <w:vAlign w:val="center"/>
          </w:tcPr>
          <w:p>
            <w:pPr>
              <w:snapToGrid w:val="0"/>
              <w:jc w:val="right"/>
            </w:pPr>
            <w:r>
              <w:rPr>
                <w:rFonts w:ascii="宋体" w:eastAsia="宋体" w:hAnsi="宋体" w:cs="宋体"/>
                <w:b w:val="0"/>
                <w:i w:val="0"/>
                <w:color w:val="000000"/>
                <w:sz w:val="14"/>
              </w:rPr>
              <w:t xml:space="preserve">170,535.00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18,227,527.77</w:t>
            </w:r>
          </w:p>
        </w:tc>
        <w:tc>
          <w:tcPr>
            <w:tcW w:w="1240" w:type="dxa"/>
            <w:tcBorders/>
            <w:vAlign w:val="center"/>
          </w:tcPr>
          <w:p>
            <w:pPr>
              <w:snapToGrid w:val="0"/>
              <w:jc w:val="right"/>
            </w:pPr>
            <w:r>
              <w:rPr>
                <w:rFonts w:ascii="宋体" w:eastAsia="宋体" w:hAnsi="宋体" w:cs="宋体"/>
                <w:b w:val="0"/>
                <w:i w:val="0"/>
                <w:color w:val="000000"/>
                <w:sz w:val="14"/>
              </w:rPr>
              <w:t xml:space="preserve">18,227,195.58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332.19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17,659,188.57</w:t>
            </w:r>
          </w:p>
        </w:tc>
        <w:tc>
          <w:tcPr>
            <w:tcW w:w="1240" w:type="dxa"/>
            <w:tcBorders/>
            <w:vAlign w:val="center"/>
          </w:tcPr>
          <w:p>
            <w:pPr>
              <w:snapToGrid w:val="0"/>
              <w:jc w:val="right"/>
            </w:pPr>
            <w:r>
              <w:rPr>
                <w:rFonts w:ascii="宋体" w:eastAsia="宋体" w:hAnsi="宋体" w:cs="宋体"/>
                <w:b w:val="0"/>
                <w:i w:val="0"/>
                <w:color w:val="000000"/>
                <w:sz w:val="14"/>
              </w:rPr>
              <w:t xml:space="preserve">17,658,856.38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332.19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17,659,188.57</w:t>
            </w:r>
          </w:p>
        </w:tc>
        <w:tc>
          <w:tcPr>
            <w:tcW w:w="1240" w:type="dxa"/>
            <w:tcBorders/>
            <w:vAlign w:val="center"/>
          </w:tcPr>
          <w:p>
            <w:pPr>
              <w:snapToGrid w:val="0"/>
              <w:jc w:val="right"/>
            </w:pPr>
            <w:r>
              <w:rPr>
                <w:rFonts w:ascii="宋体" w:eastAsia="宋体" w:hAnsi="宋体" w:cs="宋体"/>
                <w:b w:val="0"/>
                <w:i w:val="0"/>
                <w:color w:val="000000"/>
                <w:sz w:val="14"/>
              </w:rPr>
              <w:t xml:space="preserve">17,658,856.38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332.19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21,324,695.16</w:t>
            </w:r>
          </w:p>
        </w:tc>
        <w:tc>
          <w:tcPr>
            <w:tcW w:w="580" w:type="dxa"/>
            <w:tcBorders/>
            <w:vAlign w:val="center"/>
          </w:tcPr>
          <w:p>
            <w:pPr>
              <w:snapToGrid w:val="0"/>
              <w:jc w:val="right"/>
            </w:pPr>
            <w:r>
              <w:rPr>
                <w:rFonts w:ascii="宋体" w:eastAsia="宋体" w:hAnsi="宋体" w:cs="宋体"/>
                <w:b w:val="0"/>
                <w:i w:val="0"/>
                <w:color w:val="000000"/>
                <w:sz w:val="9"/>
              </w:rPr>
              <w:t xml:space="preserve">21,320,500.24</w:t>
            </w:r>
          </w:p>
        </w:tc>
        <w:tc>
          <w:tcPr>
            <w:tcW w:w="580" w:type="dxa"/>
            <w:tcBorders/>
            <w:vAlign w:val="center"/>
          </w:tcPr>
          <w:p>
            <w:pPr>
              <w:snapToGrid w:val="0"/>
              <w:jc w:val="right"/>
            </w:pPr>
            <w:r>
              <w:rPr>
                <w:rFonts w:ascii="宋体" w:eastAsia="宋体" w:hAnsi="宋体" w:cs="宋体"/>
                <w:b w:val="0"/>
                <w:i w:val="0"/>
                <w:color w:val="000000"/>
                <w:sz w:val="9"/>
              </w:rPr>
              <w:t xml:space="preserve">21,213,408.85</w:t>
            </w:r>
          </w:p>
        </w:tc>
        <w:tc>
          <w:tcPr>
            <w:tcW w:w="580" w:type="dxa"/>
            <w:tcBorders/>
            <w:vAlign w:val="center"/>
          </w:tcPr>
          <w:p>
            <w:pPr>
              <w:snapToGrid w:val="0"/>
              <w:jc w:val="right"/>
            </w:pPr>
            <w:r>
              <w:rPr>
                <w:rFonts w:ascii="宋体" w:eastAsia="宋体" w:hAnsi="宋体" w:cs="宋体"/>
                <w:b w:val="0"/>
                <w:i w:val="0"/>
                <w:color w:val="000000"/>
                <w:sz w:val="9"/>
              </w:rPr>
              <w:t xml:space="preserve">106,759.20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332.19</w:t>
            </w:r>
          </w:p>
        </w:tc>
        <w:tc>
          <w:tcPr>
            <w:tcW w:w="580" w:type="dxa"/>
            <w:tcBorders/>
            <w:vAlign w:val="center"/>
          </w:tcPr>
          <w:p>
            <w:pPr>
              <w:snapToGrid w:val="0"/>
              <w:jc w:val="right"/>
            </w:pPr>
            <w:r>
              <w:rPr>
                <w:rFonts w:ascii="宋体" w:eastAsia="宋体" w:hAnsi="宋体" w:cs="宋体"/>
                <w:b w:val="0"/>
                <w:i w:val="0"/>
                <w:color w:val="000000"/>
                <w:sz w:val="9"/>
              </w:rPr>
              <w:t xml:space="preserve">4,194.92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4,194.92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4,194.92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326105</w:t>
            </w:r>
          </w:p>
        </w:tc>
        <w:tc>
          <w:tcPr>
            <w:tcW w:w="1520" w:type="dxa"/>
            <w:tcBorders/>
            <w:vAlign w:val="center"/>
          </w:tcPr>
          <w:p>
            <w:pPr>
              <w:snapToGrid w:val="0"/>
              <w:jc w:val="center"/>
            </w:pPr>
            <w:r>
              <w:rPr>
                <w:rFonts w:ascii="宋体" w:eastAsia="宋体" w:hAnsi="宋体" w:cs="宋体"/>
                <w:b w:val="0"/>
                <w:i w:val="0"/>
                <w:color w:val="000000"/>
                <w:sz w:val="9"/>
              </w:rPr>
              <w:t xml:space="preserve">天津市城市管理综合行政执法总队</w:t>
            </w:r>
          </w:p>
        </w:tc>
        <w:tc>
          <w:tcPr>
            <w:tcW w:w="580" w:type="dxa"/>
            <w:tcBorders/>
            <w:vAlign w:val="center"/>
          </w:tcPr>
          <w:p>
            <w:pPr>
              <w:snapToGrid w:val="0"/>
              <w:jc w:val="right"/>
            </w:pPr>
            <w:r>
              <w:rPr>
                <w:rFonts w:ascii="宋体" w:eastAsia="宋体" w:hAnsi="宋体" w:cs="宋体"/>
                <w:b w:val="0"/>
                <w:i w:val="0"/>
                <w:color w:val="000000"/>
                <w:sz w:val="9"/>
              </w:rPr>
              <w:t xml:space="preserve">21,324,695.16</w:t>
            </w:r>
          </w:p>
        </w:tc>
        <w:tc>
          <w:tcPr>
            <w:tcW w:w="580" w:type="dxa"/>
            <w:tcBorders/>
            <w:vAlign w:val="center"/>
          </w:tcPr>
          <w:p>
            <w:pPr>
              <w:snapToGrid w:val="0"/>
              <w:jc w:val="right"/>
            </w:pPr>
            <w:r>
              <w:rPr>
                <w:rFonts w:ascii="宋体" w:eastAsia="宋体" w:hAnsi="宋体" w:cs="宋体"/>
                <w:b w:val="0"/>
                <w:i w:val="0"/>
                <w:color w:val="000000"/>
                <w:sz w:val="9"/>
              </w:rPr>
              <w:t xml:space="preserve">21,320,500.24</w:t>
            </w:r>
          </w:p>
        </w:tc>
        <w:tc>
          <w:tcPr>
            <w:tcW w:w="580" w:type="dxa"/>
            <w:tcBorders/>
            <w:vAlign w:val="center"/>
          </w:tcPr>
          <w:p>
            <w:pPr>
              <w:snapToGrid w:val="0"/>
              <w:jc w:val="right"/>
            </w:pPr>
            <w:r>
              <w:rPr>
                <w:rFonts w:ascii="宋体" w:eastAsia="宋体" w:hAnsi="宋体" w:cs="宋体"/>
                <w:b w:val="0"/>
                <w:i w:val="0"/>
                <w:color w:val="000000"/>
                <w:sz w:val="9"/>
              </w:rPr>
              <w:t xml:space="preserve">21,213,408.85</w:t>
            </w:r>
          </w:p>
        </w:tc>
        <w:tc>
          <w:tcPr>
            <w:tcW w:w="580" w:type="dxa"/>
            <w:tcBorders/>
            <w:vAlign w:val="center"/>
          </w:tcPr>
          <w:p>
            <w:pPr>
              <w:snapToGrid w:val="0"/>
              <w:jc w:val="right"/>
            </w:pPr>
            <w:r>
              <w:rPr>
                <w:rFonts w:ascii="宋体" w:eastAsia="宋体" w:hAnsi="宋体" w:cs="宋体"/>
                <w:b w:val="0"/>
                <w:i w:val="0"/>
                <w:color w:val="000000"/>
                <w:sz w:val="9"/>
              </w:rPr>
              <w:t xml:space="preserve">106,759.20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332.19</w:t>
            </w:r>
          </w:p>
        </w:tc>
        <w:tc>
          <w:tcPr>
            <w:tcW w:w="580" w:type="dxa"/>
            <w:tcBorders/>
            <w:vAlign w:val="center"/>
          </w:tcPr>
          <w:p>
            <w:pPr>
              <w:snapToGrid w:val="0"/>
              <w:jc w:val="right"/>
            </w:pPr>
            <w:r>
              <w:rPr>
                <w:rFonts w:ascii="宋体" w:eastAsia="宋体" w:hAnsi="宋体" w:cs="宋体"/>
                <w:b w:val="0"/>
                <w:i w:val="0"/>
                <w:color w:val="000000"/>
                <w:sz w:val="9"/>
              </w:rPr>
              <w:t xml:space="preserve">4,194.92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4,194.92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4,194.92</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21,322,736.97</w:t>
            </w:r>
          </w:p>
        </w:tc>
        <w:tc>
          <w:tcPr>
            <w:tcW w:w="1320" w:type="dxa"/>
            <w:tcBorders/>
            <w:vAlign w:val="center"/>
          </w:tcPr>
          <w:p>
            <w:pPr>
              <w:snapToGrid w:val="0"/>
              <w:jc w:val="right"/>
            </w:pPr>
            <w:r>
              <w:rPr>
                <w:rFonts w:ascii="宋体" w:eastAsia="宋体" w:hAnsi="宋体" w:cs="宋体"/>
                <w:b w:val="0"/>
                <w:i w:val="0"/>
                <w:color w:val="000000"/>
                <w:sz w:val="15"/>
              </w:rPr>
              <w:t xml:space="preserve">20,754,397.77</w:t>
            </w:r>
          </w:p>
        </w:tc>
        <w:tc>
          <w:tcPr>
            <w:tcW w:w="1320" w:type="dxa"/>
            <w:tcBorders/>
            <w:vAlign w:val="center"/>
          </w:tcPr>
          <w:p>
            <w:pPr>
              <w:snapToGrid w:val="0"/>
              <w:jc w:val="right"/>
            </w:pPr>
            <w:r>
              <w:rPr>
                <w:rFonts w:ascii="宋体" w:eastAsia="宋体" w:hAnsi="宋体" w:cs="宋体"/>
                <w:b w:val="0"/>
                <w:i w:val="0"/>
                <w:color w:val="000000"/>
                <w:sz w:val="15"/>
              </w:rPr>
              <w:t xml:space="preserve">568,339.20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2,113,297.47</w:t>
            </w:r>
          </w:p>
        </w:tc>
        <w:tc>
          <w:tcPr>
            <w:tcW w:w="1320" w:type="dxa"/>
            <w:tcBorders/>
            <w:vAlign w:val="center"/>
          </w:tcPr>
          <w:p>
            <w:pPr>
              <w:snapToGrid w:val="0"/>
              <w:jc w:val="right"/>
            </w:pPr>
            <w:r>
              <w:rPr>
                <w:rFonts w:ascii="宋体" w:eastAsia="宋体" w:hAnsi="宋体" w:cs="宋体"/>
                <w:b w:val="0"/>
                <w:i w:val="0"/>
                <w:color w:val="000000"/>
                <w:sz w:val="15"/>
              </w:rPr>
              <w:t xml:space="preserve">2,113,297.47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2,113,297.47</w:t>
            </w:r>
          </w:p>
        </w:tc>
        <w:tc>
          <w:tcPr>
            <w:tcW w:w="1320" w:type="dxa"/>
            <w:tcBorders/>
            <w:vAlign w:val="center"/>
          </w:tcPr>
          <w:p>
            <w:pPr>
              <w:snapToGrid w:val="0"/>
              <w:jc w:val="right"/>
            </w:pPr>
            <w:r>
              <w:rPr>
                <w:rFonts w:ascii="宋体" w:eastAsia="宋体" w:hAnsi="宋体" w:cs="宋体"/>
                <w:b w:val="0"/>
                <w:i w:val="0"/>
                <w:color w:val="000000"/>
                <w:sz w:val="15"/>
              </w:rPr>
              <w:t xml:space="preserve">2,113,297.47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1,366,813.00</w:t>
            </w:r>
          </w:p>
        </w:tc>
        <w:tc>
          <w:tcPr>
            <w:tcW w:w="1320" w:type="dxa"/>
            <w:tcBorders/>
            <w:vAlign w:val="center"/>
          </w:tcPr>
          <w:p>
            <w:pPr>
              <w:snapToGrid w:val="0"/>
              <w:jc w:val="right"/>
            </w:pPr>
            <w:r>
              <w:rPr>
                <w:rFonts w:ascii="宋体" w:eastAsia="宋体" w:hAnsi="宋体" w:cs="宋体"/>
                <w:b w:val="0"/>
                <w:i w:val="0"/>
                <w:color w:val="000000"/>
                <w:sz w:val="15"/>
              </w:rPr>
              <w:t xml:space="preserve">1,366,813.00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746,484.47</w:t>
            </w:r>
          </w:p>
        </w:tc>
        <w:tc>
          <w:tcPr>
            <w:tcW w:w="1320" w:type="dxa"/>
            <w:tcBorders/>
            <w:vAlign w:val="center"/>
          </w:tcPr>
          <w:p>
            <w:pPr>
              <w:snapToGrid w:val="0"/>
              <w:jc w:val="right"/>
            </w:pPr>
            <w:r>
              <w:rPr>
                <w:rFonts w:ascii="宋体" w:eastAsia="宋体" w:hAnsi="宋体" w:cs="宋体"/>
                <w:b w:val="0"/>
                <w:i w:val="0"/>
                <w:color w:val="000000"/>
                <w:sz w:val="15"/>
              </w:rPr>
              <w:t xml:space="preserve">746,484.47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979,675.00</w:t>
            </w:r>
          </w:p>
        </w:tc>
        <w:tc>
          <w:tcPr>
            <w:tcW w:w="1320" w:type="dxa"/>
            <w:tcBorders/>
            <w:vAlign w:val="center"/>
          </w:tcPr>
          <w:p>
            <w:pPr>
              <w:snapToGrid w:val="0"/>
              <w:jc w:val="right"/>
            </w:pPr>
            <w:r>
              <w:rPr>
                <w:rFonts w:ascii="宋体" w:eastAsia="宋体" w:hAnsi="宋体" w:cs="宋体"/>
                <w:b w:val="0"/>
                <w:i w:val="0"/>
                <w:color w:val="000000"/>
                <w:sz w:val="15"/>
              </w:rPr>
              <w:t xml:space="preserve">979,675.00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979,675.00</w:t>
            </w:r>
          </w:p>
        </w:tc>
        <w:tc>
          <w:tcPr>
            <w:tcW w:w="1320" w:type="dxa"/>
            <w:tcBorders/>
            <w:vAlign w:val="center"/>
          </w:tcPr>
          <w:p>
            <w:pPr>
              <w:snapToGrid w:val="0"/>
              <w:jc w:val="right"/>
            </w:pPr>
            <w:r>
              <w:rPr>
                <w:rFonts w:ascii="宋体" w:eastAsia="宋体" w:hAnsi="宋体" w:cs="宋体"/>
                <w:b w:val="0"/>
                <w:i w:val="0"/>
                <w:color w:val="000000"/>
                <w:sz w:val="15"/>
              </w:rPr>
              <w:t xml:space="preserve">979,675.00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809,140.00</w:t>
            </w:r>
          </w:p>
        </w:tc>
        <w:tc>
          <w:tcPr>
            <w:tcW w:w="1320" w:type="dxa"/>
            <w:tcBorders/>
            <w:vAlign w:val="center"/>
          </w:tcPr>
          <w:p>
            <w:pPr>
              <w:snapToGrid w:val="0"/>
              <w:jc w:val="right"/>
            </w:pPr>
            <w:r>
              <w:rPr>
                <w:rFonts w:ascii="宋体" w:eastAsia="宋体" w:hAnsi="宋体" w:cs="宋体"/>
                <w:b w:val="0"/>
                <w:i w:val="0"/>
                <w:color w:val="000000"/>
                <w:sz w:val="15"/>
              </w:rPr>
              <w:t xml:space="preserve">809,140.00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170,535.00</w:t>
            </w:r>
          </w:p>
        </w:tc>
        <w:tc>
          <w:tcPr>
            <w:tcW w:w="1320" w:type="dxa"/>
            <w:tcBorders/>
            <w:vAlign w:val="center"/>
          </w:tcPr>
          <w:p>
            <w:pPr>
              <w:snapToGrid w:val="0"/>
              <w:jc w:val="right"/>
            </w:pPr>
            <w:r>
              <w:rPr>
                <w:rFonts w:ascii="宋体" w:eastAsia="宋体" w:hAnsi="宋体" w:cs="宋体"/>
                <w:b w:val="0"/>
                <w:i w:val="0"/>
                <w:color w:val="000000"/>
                <w:sz w:val="15"/>
              </w:rPr>
              <w:t xml:space="preserve">170,535.00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18,229,764.50</w:t>
            </w:r>
          </w:p>
        </w:tc>
        <w:tc>
          <w:tcPr>
            <w:tcW w:w="1320" w:type="dxa"/>
            <w:tcBorders/>
            <w:vAlign w:val="center"/>
          </w:tcPr>
          <w:p>
            <w:pPr>
              <w:snapToGrid w:val="0"/>
              <w:jc w:val="right"/>
            </w:pPr>
            <w:r>
              <w:rPr>
                <w:rFonts w:ascii="宋体" w:eastAsia="宋体" w:hAnsi="宋体" w:cs="宋体"/>
                <w:b w:val="0"/>
                <w:i w:val="0"/>
                <w:color w:val="000000"/>
                <w:sz w:val="15"/>
              </w:rPr>
              <w:t xml:space="preserve">17,661,425.30</w:t>
            </w:r>
          </w:p>
        </w:tc>
        <w:tc>
          <w:tcPr>
            <w:tcW w:w="1320" w:type="dxa"/>
            <w:tcBorders/>
            <w:vAlign w:val="center"/>
          </w:tcPr>
          <w:p>
            <w:pPr>
              <w:snapToGrid w:val="0"/>
              <w:jc w:val="right"/>
            </w:pPr>
            <w:r>
              <w:rPr>
                <w:rFonts w:ascii="宋体" w:eastAsia="宋体" w:hAnsi="宋体" w:cs="宋体"/>
                <w:b w:val="0"/>
                <w:i w:val="0"/>
                <w:color w:val="000000"/>
                <w:sz w:val="15"/>
              </w:rPr>
              <w:t xml:space="preserve">568,339.20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17,661,425.30</w:t>
            </w:r>
          </w:p>
        </w:tc>
        <w:tc>
          <w:tcPr>
            <w:tcW w:w="1320" w:type="dxa"/>
            <w:tcBorders/>
            <w:vAlign w:val="center"/>
          </w:tcPr>
          <w:p>
            <w:pPr>
              <w:snapToGrid w:val="0"/>
              <w:jc w:val="right"/>
            </w:pPr>
            <w:r>
              <w:rPr>
                <w:rFonts w:ascii="宋体" w:eastAsia="宋体" w:hAnsi="宋体" w:cs="宋体"/>
                <w:b w:val="0"/>
                <w:i w:val="0"/>
                <w:color w:val="000000"/>
                <w:sz w:val="15"/>
              </w:rPr>
              <w:t xml:space="preserve">17,661,425.30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17,661,425.30</w:t>
            </w:r>
          </w:p>
        </w:tc>
        <w:tc>
          <w:tcPr>
            <w:tcW w:w="1320" w:type="dxa"/>
            <w:tcBorders/>
            <w:vAlign w:val="center"/>
          </w:tcPr>
          <w:p>
            <w:pPr>
              <w:snapToGrid w:val="0"/>
              <w:jc w:val="right"/>
            </w:pPr>
            <w:r>
              <w:rPr>
                <w:rFonts w:ascii="宋体" w:eastAsia="宋体" w:hAnsi="宋体" w:cs="宋体"/>
                <w:b w:val="0"/>
                <w:i w:val="0"/>
                <w:color w:val="000000"/>
                <w:sz w:val="15"/>
              </w:rPr>
              <w:t xml:space="preserve">17,661,425.30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461,580.00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461,580.00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461,580.00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461,580.00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106,759.20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106,759.20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106,759.20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106,759.20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21,213,408.85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106,759.20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2,113,297.47</w:t>
            </w:r>
          </w:p>
        </w:tc>
        <w:tc>
          <w:tcPr>
            <w:tcW w:w="1420" w:type="dxa"/>
            <w:tcBorders/>
            <w:vAlign w:val="center"/>
          </w:tcPr>
          <w:p>
            <w:pPr>
              <w:snapToGrid w:val="0"/>
              <w:jc w:val="right"/>
            </w:pPr>
            <w:r>
              <w:rPr>
                <w:rFonts w:ascii="宋体" w:eastAsia="宋体" w:hAnsi="宋体" w:cs="宋体"/>
                <w:b w:val="0"/>
                <w:i w:val="0"/>
                <w:color w:val="000000"/>
                <w:sz w:val="16"/>
              </w:rPr>
              <w:t xml:space="preserve">2,113,297.47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979,675.00</w:t>
            </w:r>
          </w:p>
        </w:tc>
        <w:tc>
          <w:tcPr>
            <w:tcW w:w="1420" w:type="dxa"/>
            <w:tcBorders/>
            <w:vAlign w:val="center"/>
          </w:tcPr>
          <w:p>
            <w:pPr>
              <w:snapToGrid w:val="0"/>
              <w:jc w:val="right"/>
            </w:pPr>
            <w:r>
              <w:rPr>
                <w:rFonts w:ascii="宋体" w:eastAsia="宋体" w:hAnsi="宋体" w:cs="宋体"/>
                <w:b w:val="0"/>
                <w:i w:val="0"/>
                <w:color w:val="000000"/>
                <w:sz w:val="16"/>
              </w:rPr>
              <w:t xml:space="preserve">979,675.00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18,227,195.58</w:t>
            </w:r>
          </w:p>
        </w:tc>
        <w:tc>
          <w:tcPr>
            <w:tcW w:w="1420" w:type="dxa"/>
            <w:tcBorders/>
            <w:vAlign w:val="center"/>
          </w:tcPr>
          <w:p>
            <w:pPr>
              <w:snapToGrid w:val="0"/>
              <w:jc w:val="right"/>
            </w:pPr>
            <w:r>
              <w:rPr>
                <w:rFonts w:ascii="宋体" w:eastAsia="宋体" w:hAnsi="宋体" w:cs="宋体"/>
                <w:b w:val="0"/>
                <w:i w:val="0"/>
                <w:color w:val="000000"/>
                <w:sz w:val="16"/>
              </w:rPr>
              <w:t xml:space="preserve">18,120,436.38</w:t>
            </w:r>
          </w:p>
        </w:tc>
        <w:tc>
          <w:tcPr>
            <w:tcW w:w="1420" w:type="dxa"/>
            <w:tcBorders/>
            <w:vAlign w:val="center"/>
          </w:tcPr>
          <w:p>
            <w:pPr>
              <w:snapToGrid w:val="0"/>
              <w:jc w:val="right"/>
            </w:pPr>
            <w:r>
              <w:rPr>
                <w:rFonts w:ascii="宋体" w:eastAsia="宋体" w:hAnsi="宋体" w:cs="宋体"/>
                <w:b w:val="0"/>
                <w:i w:val="0"/>
                <w:color w:val="000000"/>
                <w:sz w:val="16"/>
              </w:rPr>
              <w:t xml:space="preserve">106,759.20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21,320,168.05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21,320,168.05</w:t>
            </w:r>
          </w:p>
        </w:tc>
        <w:tc>
          <w:tcPr>
            <w:tcW w:w="1420" w:type="dxa"/>
            <w:tcBorders/>
            <w:vAlign w:val="center"/>
          </w:tcPr>
          <w:p>
            <w:pPr>
              <w:snapToGrid w:val="0"/>
              <w:jc w:val="right"/>
            </w:pPr>
            <w:r>
              <w:rPr>
                <w:rFonts w:ascii="宋体" w:eastAsia="宋体" w:hAnsi="宋体" w:cs="宋体"/>
                <w:b w:val="0"/>
                <w:i w:val="0"/>
                <w:color w:val="000000"/>
                <w:sz w:val="16"/>
              </w:rPr>
              <w:t xml:space="preserve">21,213,408.85</w:t>
            </w:r>
          </w:p>
        </w:tc>
        <w:tc>
          <w:tcPr>
            <w:tcW w:w="1420" w:type="dxa"/>
            <w:tcBorders/>
            <w:vAlign w:val="center"/>
          </w:tcPr>
          <w:p>
            <w:pPr>
              <w:snapToGrid w:val="0"/>
              <w:jc w:val="right"/>
            </w:pPr>
            <w:r>
              <w:rPr>
                <w:rFonts w:ascii="宋体" w:eastAsia="宋体" w:hAnsi="宋体" w:cs="宋体"/>
                <w:b w:val="0"/>
                <w:i w:val="0"/>
                <w:color w:val="000000"/>
                <w:sz w:val="16"/>
              </w:rPr>
              <w:t xml:space="preserve">106,759.20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21,320,168.05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21,320,168.05</w:t>
            </w:r>
          </w:p>
        </w:tc>
        <w:tc>
          <w:tcPr>
            <w:tcW w:w="1420" w:type="dxa"/>
            <w:tcBorders/>
            <w:vAlign w:val="center"/>
          </w:tcPr>
          <w:p>
            <w:pPr>
              <w:snapToGrid w:val="0"/>
              <w:jc w:val="right"/>
            </w:pPr>
            <w:r>
              <w:rPr>
                <w:rFonts w:ascii="宋体" w:eastAsia="宋体" w:hAnsi="宋体" w:cs="宋体"/>
                <w:b w:val="0"/>
                <w:i w:val="0"/>
                <w:color w:val="000000"/>
                <w:sz w:val="16"/>
              </w:rPr>
              <w:t xml:space="preserve">21,213,408.85</w:t>
            </w:r>
          </w:p>
        </w:tc>
        <w:tc>
          <w:tcPr>
            <w:tcW w:w="1420" w:type="dxa"/>
            <w:tcBorders/>
            <w:vAlign w:val="center"/>
          </w:tcPr>
          <w:p>
            <w:pPr>
              <w:snapToGrid w:val="0"/>
              <w:jc w:val="right"/>
            </w:pPr>
            <w:r>
              <w:rPr>
                <w:rFonts w:ascii="宋体" w:eastAsia="宋体" w:hAnsi="宋体" w:cs="宋体"/>
                <w:b w:val="0"/>
                <w:i w:val="0"/>
                <w:color w:val="000000"/>
                <w:sz w:val="16"/>
              </w:rPr>
              <w:t xml:space="preserve">106,759.20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21,213,408.85</w:t>
            </w:r>
          </w:p>
        </w:tc>
        <w:tc>
          <w:tcPr>
            <w:tcW w:w="1720" w:type="dxa"/>
            <w:tcBorders/>
            <w:vAlign w:val="center"/>
          </w:tcPr>
          <w:p>
            <w:pPr>
              <w:snapToGrid w:val="0"/>
              <w:jc w:val="right"/>
            </w:pPr>
            <w:r>
              <w:rPr>
                <w:rFonts w:ascii="宋体" w:eastAsia="宋体" w:hAnsi="宋体" w:cs="宋体"/>
                <w:b w:val="0"/>
                <w:i w:val="0"/>
                <w:color w:val="000000"/>
                <w:sz w:val="20"/>
              </w:rPr>
              <w:t xml:space="preserve">20,751,828.85</w:t>
            </w:r>
          </w:p>
        </w:tc>
        <w:tc>
          <w:tcPr>
            <w:tcW w:w="1720" w:type="dxa"/>
            <w:tcBorders/>
            <w:vAlign w:val="center"/>
          </w:tcPr>
          <w:p>
            <w:pPr>
              <w:snapToGrid w:val="0"/>
              <w:jc w:val="right"/>
            </w:pPr>
            <w:r>
              <w:rPr>
                <w:rFonts w:ascii="宋体" w:eastAsia="宋体" w:hAnsi="宋体" w:cs="宋体"/>
                <w:b w:val="0"/>
                <w:i w:val="0"/>
                <w:color w:val="000000"/>
                <w:sz w:val="20"/>
              </w:rPr>
              <w:t xml:space="preserve">17,138,183.90</w:t>
            </w:r>
          </w:p>
        </w:tc>
        <w:tc>
          <w:tcPr>
            <w:tcW w:w="1720" w:type="dxa"/>
            <w:tcBorders/>
            <w:vAlign w:val="center"/>
          </w:tcPr>
          <w:p>
            <w:pPr>
              <w:snapToGrid w:val="0"/>
              <w:jc w:val="right"/>
            </w:pPr>
            <w:r>
              <w:rPr>
                <w:rFonts w:ascii="宋体" w:eastAsia="宋体" w:hAnsi="宋体" w:cs="宋体"/>
                <w:b w:val="0"/>
                <w:i w:val="0"/>
                <w:color w:val="000000"/>
                <w:sz w:val="20"/>
              </w:rPr>
              <w:t xml:space="preserve">3,613,644.95</w:t>
            </w:r>
          </w:p>
        </w:tc>
        <w:tc>
          <w:tcPr>
            <w:tcW w:w="1698" w:type="dxa"/>
            <w:tcBorders/>
            <w:vAlign w:val="center"/>
          </w:tcPr>
          <w:p>
            <w:pPr>
              <w:snapToGrid w:val="0"/>
              <w:jc w:val="right"/>
            </w:pPr>
            <w:r>
              <w:rPr>
                <w:rFonts w:ascii="宋体" w:eastAsia="宋体" w:hAnsi="宋体" w:cs="宋体"/>
                <w:b w:val="0"/>
                <w:i w:val="0"/>
                <w:color w:val="000000"/>
                <w:sz w:val="20"/>
              </w:rPr>
              <w:t xml:space="preserve">461,580.00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2,113,297.47</w:t>
            </w:r>
          </w:p>
        </w:tc>
        <w:tc>
          <w:tcPr>
            <w:tcW w:w="1720" w:type="dxa"/>
            <w:tcBorders/>
            <w:vAlign w:val="center"/>
          </w:tcPr>
          <w:p>
            <w:pPr>
              <w:snapToGrid w:val="0"/>
              <w:jc w:val="right"/>
            </w:pPr>
            <w:r>
              <w:rPr>
                <w:rFonts w:ascii="宋体" w:eastAsia="宋体" w:hAnsi="宋体" w:cs="宋体"/>
                <w:b w:val="0"/>
                <w:i w:val="0"/>
                <w:color w:val="000000"/>
                <w:sz w:val="20"/>
              </w:rPr>
              <w:t xml:space="preserve">2,113,297.47</w:t>
            </w:r>
          </w:p>
        </w:tc>
        <w:tc>
          <w:tcPr>
            <w:tcW w:w="1720" w:type="dxa"/>
            <w:tcBorders/>
            <w:vAlign w:val="center"/>
          </w:tcPr>
          <w:p>
            <w:pPr>
              <w:snapToGrid w:val="0"/>
              <w:jc w:val="right"/>
            </w:pPr>
            <w:r>
              <w:rPr>
                <w:rFonts w:ascii="宋体" w:eastAsia="宋体" w:hAnsi="宋体" w:cs="宋体"/>
                <w:b w:val="0"/>
                <w:i w:val="0"/>
                <w:color w:val="000000"/>
                <w:sz w:val="20"/>
              </w:rPr>
              <w:t xml:space="preserve">2,113,297.47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2,113,297.47</w:t>
            </w:r>
          </w:p>
        </w:tc>
        <w:tc>
          <w:tcPr>
            <w:tcW w:w="1720" w:type="dxa"/>
            <w:tcBorders/>
            <w:vAlign w:val="center"/>
          </w:tcPr>
          <w:p>
            <w:pPr>
              <w:snapToGrid w:val="0"/>
              <w:jc w:val="right"/>
            </w:pPr>
            <w:r>
              <w:rPr>
                <w:rFonts w:ascii="宋体" w:eastAsia="宋体" w:hAnsi="宋体" w:cs="宋体"/>
                <w:b w:val="0"/>
                <w:i w:val="0"/>
                <w:color w:val="000000"/>
                <w:sz w:val="20"/>
              </w:rPr>
              <w:t xml:space="preserve">2,113,297.47</w:t>
            </w:r>
          </w:p>
        </w:tc>
        <w:tc>
          <w:tcPr>
            <w:tcW w:w="1720" w:type="dxa"/>
            <w:tcBorders/>
            <w:vAlign w:val="center"/>
          </w:tcPr>
          <w:p>
            <w:pPr>
              <w:snapToGrid w:val="0"/>
              <w:jc w:val="right"/>
            </w:pPr>
            <w:r>
              <w:rPr>
                <w:rFonts w:ascii="宋体" w:eastAsia="宋体" w:hAnsi="宋体" w:cs="宋体"/>
                <w:b w:val="0"/>
                <w:i w:val="0"/>
                <w:color w:val="000000"/>
                <w:sz w:val="20"/>
              </w:rPr>
              <w:t xml:space="preserve">2,113,297.47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1,366,813.00</w:t>
            </w:r>
          </w:p>
        </w:tc>
        <w:tc>
          <w:tcPr>
            <w:tcW w:w="1720" w:type="dxa"/>
            <w:tcBorders/>
            <w:vAlign w:val="center"/>
          </w:tcPr>
          <w:p>
            <w:pPr>
              <w:snapToGrid w:val="0"/>
              <w:jc w:val="right"/>
            </w:pPr>
            <w:r>
              <w:rPr>
                <w:rFonts w:ascii="宋体" w:eastAsia="宋体" w:hAnsi="宋体" w:cs="宋体"/>
                <w:b w:val="0"/>
                <w:i w:val="0"/>
                <w:color w:val="000000"/>
                <w:sz w:val="20"/>
              </w:rPr>
              <w:t xml:space="preserve">1,366,813.00</w:t>
            </w:r>
          </w:p>
        </w:tc>
        <w:tc>
          <w:tcPr>
            <w:tcW w:w="1720" w:type="dxa"/>
            <w:tcBorders/>
            <w:vAlign w:val="center"/>
          </w:tcPr>
          <w:p>
            <w:pPr>
              <w:snapToGrid w:val="0"/>
              <w:jc w:val="right"/>
            </w:pPr>
            <w:r>
              <w:rPr>
                <w:rFonts w:ascii="宋体" w:eastAsia="宋体" w:hAnsi="宋体" w:cs="宋体"/>
                <w:b w:val="0"/>
                <w:i w:val="0"/>
                <w:color w:val="000000"/>
                <w:sz w:val="20"/>
              </w:rPr>
              <w:t xml:space="preserve">1,366,813.00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746,484.47</w:t>
            </w:r>
          </w:p>
        </w:tc>
        <w:tc>
          <w:tcPr>
            <w:tcW w:w="1720" w:type="dxa"/>
            <w:tcBorders/>
            <w:vAlign w:val="center"/>
          </w:tcPr>
          <w:p>
            <w:pPr>
              <w:snapToGrid w:val="0"/>
              <w:jc w:val="right"/>
            </w:pPr>
            <w:r>
              <w:rPr>
                <w:rFonts w:ascii="宋体" w:eastAsia="宋体" w:hAnsi="宋体" w:cs="宋体"/>
                <w:b w:val="0"/>
                <w:i w:val="0"/>
                <w:color w:val="000000"/>
                <w:sz w:val="20"/>
              </w:rPr>
              <w:t xml:space="preserve">746,484.47</w:t>
            </w:r>
          </w:p>
        </w:tc>
        <w:tc>
          <w:tcPr>
            <w:tcW w:w="1720" w:type="dxa"/>
            <w:tcBorders/>
            <w:vAlign w:val="center"/>
          </w:tcPr>
          <w:p>
            <w:pPr>
              <w:snapToGrid w:val="0"/>
              <w:jc w:val="right"/>
            </w:pPr>
            <w:r>
              <w:rPr>
                <w:rFonts w:ascii="宋体" w:eastAsia="宋体" w:hAnsi="宋体" w:cs="宋体"/>
                <w:b w:val="0"/>
                <w:i w:val="0"/>
                <w:color w:val="000000"/>
                <w:sz w:val="20"/>
              </w:rPr>
              <w:t xml:space="preserve">746,484.47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979,675.00</w:t>
            </w:r>
          </w:p>
        </w:tc>
        <w:tc>
          <w:tcPr>
            <w:tcW w:w="1720" w:type="dxa"/>
            <w:tcBorders/>
            <w:vAlign w:val="center"/>
          </w:tcPr>
          <w:p>
            <w:pPr>
              <w:snapToGrid w:val="0"/>
              <w:jc w:val="right"/>
            </w:pPr>
            <w:r>
              <w:rPr>
                <w:rFonts w:ascii="宋体" w:eastAsia="宋体" w:hAnsi="宋体" w:cs="宋体"/>
                <w:b w:val="0"/>
                <w:i w:val="0"/>
                <w:color w:val="000000"/>
                <w:sz w:val="20"/>
              </w:rPr>
              <w:t xml:space="preserve">979,675.00</w:t>
            </w:r>
          </w:p>
        </w:tc>
        <w:tc>
          <w:tcPr>
            <w:tcW w:w="1720" w:type="dxa"/>
            <w:tcBorders/>
            <w:vAlign w:val="center"/>
          </w:tcPr>
          <w:p>
            <w:pPr>
              <w:snapToGrid w:val="0"/>
              <w:jc w:val="right"/>
            </w:pPr>
            <w:r>
              <w:rPr>
                <w:rFonts w:ascii="宋体" w:eastAsia="宋体" w:hAnsi="宋体" w:cs="宋体"/>
                <w:b w:val="0"/>
                <w:i w:val="0"/>
                <w:color w:val="000000"/>
                <w:sz w:val="20"/>
              </w:rPr>
              <w:t xml:space="preserve">979,675.00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979,675.00</w:t>
            </w:r>
          </w:p>
        </w:tc>
        <w:tc>
          <w:tcPr>
            <w:tcW w:w="1720" w:type="dxa"/>
            <w:tcBorders/>
            <w:vAlign w:val="center"/>
          </w:tcPr>
          <w:p>
            <w:pPr>
              <w:snapToGrid w:val="0"/>
              <w:jc w:val="right"/>
            </w:pPr>
            <w:r>
              <w:rPr>
                <w:rFonts w:ascii="宋体" w:eastAsia="宋体" w:hAnsi="宋体" w:cs="宋体"/>
                <w:b w:val="0"/>
                <w:i w:val="0"/>
                <w:color w:val="000000"/>
                <w:sz w:val="20"/>
              </w:rPr>
              <w:t xml:space="preserve">979,675.00</w:t>
            </w:r>
          </w:p>
        </w:tc>
        <w:tc>
          <w:tcPr>
            <w:tcW w:w="1720" w:type="dxa"/>
            <w:tcBorders/>
            <w:vAlign w:val="center"/>
          </w:tcPr>
          <w:p>
            <w:pPr>
              <w:snapToGrid w:val="0"/>
              <w:jc w:val="right"/>
            </w:pPr>
            <w:r>
              <w:rPr>
                <w:rFonts w:ascii="宋体" w:eastAsia="宋体" w:hAnsi="宋体" w:cs="宋体"/>
                <w:b w:val="0"/>
                <w:i w:val="0"/>
                <w:color w:val="000000"/>
                <w:sz w:val="20"/>
              </w:rPr>
              <w:t xml:space="preserve">979,675.00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809,140.00</w:t>
            </w:r>
          </w:p>
        </w:tc>
        <w:tc>
          <w:tcPr>
            <w:tcW w:w="1720" w:type="dxa"/>
            <w:tcBorders/>
            <w:vAlign w:val="center"/>
          </w:tcPr>
          <w:p>
            <w:pPr>
              <w:snapToGrid w:val="0"/>
              <w:jc w:val="right"/>
            </w:pPr>
            <w:r>
              <w:rPr>
                <w:rFonts w:ascii="宋体" w:eastAsia="宋体" w:hAnsi="宋体" w:cs="宋体"/>
                <w:b w:val="0"/>
                <w:i w:val="0"/>
                <w:color w:val="000000"/>
                <w:sz w:val="20"/>
              </w:rPr>
              <w:t xml:space="preserve">809,140.00</w:t>
            </w:r>
          </w:p>
        </w:tc>
        <w:tc>
          <w:tcPr>
            <w:tcW w:w="1720" w:type="dxa"/>
            <w:tcBorders/>
            <w:vAlign w:val="center"/>
          </w:tcPr>
          <w:p>
            <w:pPr>
              <w:snapToGrid w:val="0"/>
              <w:jc w:val="right"/>
            </w:pPr>
            <w:r>
              <w:rPr>
                <w:rFonts w:ascii="宋体" w:eastAsia="宋体" w:hAnsi="宋体" w:cs="宋体"/>
                <w:b w:val="0"/>
                <w:i w:val="0"/>
                <w:color w:val="000000"/>
                <w:sz w:val="20"/>
              </w:rPr>
              <w:t xml:space="preserve">809,140.00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170,535.00</w:t>
            </w:r>
          </w:p>
        </w:tc>
        <w:tc>
          <w:tcPr>
            <w:tcW w:w="1720" w:type="dxa"/>
            <w:tcBorders/>
            <w:vAlign w:val="center"/>
          </w:tcPr>
          <w:p>
            <w:pPr>
              <w:snapToGrid w:val="0"/>
              <w:jc w:val="right"/>
            </w:pPr>
            <w:r>
              <w:rPr>
                <w:rFonts w:ascii="宋体" w:eastAsia="宋体" w:hAnsi="宋体" w:cs="宋体"/>
                <w:b w:val="0"/>
                <w:i w:val="0"/>
                <w:color w:val="000000"/>
                <w:sz w:val="20"/>
              </w:rPr>
              <w:t xml:space="preserve">170,535.00</w:t>
            </w:r>
          </w:p>
        </w:tc>
        <w:tc>
          <w:tcPr>
            <w:tcW w:w="1720" w:type="dxa"/>
            <w:tcBorders/>
            <w:vAlign w:val="center"/>
          </w:tcPr>
          <w:p>
            <w:pPr>
              <w:snapToGrid w:val="0"/>
              <w:jc w:val="right"/>
            </w:pPr>
            <w:r>
              <w:rPr>
                <w:rFonts w:ascii="宋体" w:eastAsia="宋体" w:hAnsi="宋体" w:cs="宋体"/>
                <w:b w:val="0"/>
                <w:i w:val="0"/>
                <w:color w:val="000000"/>
                <w:sz w:val="20"/>
              </w:rPr>
              <w:t xml:space="preserve">170,535.00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18,120,436.38</w:t>
            </w:r>
          </w:p>
        </w:tc>
        <w:tc>
          <w:tcPr>
            <w:tcW w:w="1720" w:type="dxa"/>
            <w:tcBorders/>
            <w:vAlign w:val="center"/>
          </w:tcPr>
          <w:p>
            <w:pPr>
              <w:snapToGrid w:val="0"/>
              <w:jc w:val="right"/>
            </w:pPr>
            <w:r>
              <w:rPr>
                <w:rFonts w:ascii="宋体" w:eastAsia="宋体" w:hAnsi="宋体" w:cs="宋体"/>
                <w:b w:val="0"/>
                <w:i w:val="0"/>
                <w:color w:val="000000"/>
                <w:sz w:val="20"/>
              </w:rPr>
              <w:t xml:space="preserve">17,658,856.38</w:t>
            </w:r>
          </w:p>
        </w:tc>
        <w:tc>
          <w:tcPr>
            <w:tcW w:w="1720" w:type="dxa"/>
            <w:tcBorders/>
            <w:vAlign w:val="center"/>
          </w:tcPr>
          <w:p>
            <w:pPr>
              <w:snapToGrid w:val="0"/>
              <w:jc w:val="right"/>
            </w:pPr>
            <w:r>
              <w:rPr>
                <w:rFonts w:ascii="宋体" w:eastAsia="宋体" w:hAnsi="宋体" w:cs="宋体"/>
                <w:b w:val="0"/>
                <w:i w:val="0"/>
                <w:color w:val="000000"/>
                <w:sz w:val="20"/>
              </w:rPr>
              <w:t xml:space="preserve">14,045,211.43</w:t>
            </w:r>
          </w:p>
        </w:tc>
        <w:tc>
          <w:tcPr>
            <w:tcW w:w="1720" w:type="dxa"/>
            <w:tcBorders/>
            <w:vAlign w:val="center"/>
          </w:tcPr>
          <w:p>
            <w:pPr>
              <w:snapToGrid w:val="0"/>
              <w:jc w:val="right"/>
            </w:pPr>
            <w:r>
              <w:rPr>
                <w:rFonts w:ascii="宋体" w:eastAsia="宋体" w:hAnsi="宋体" w:cs="宋体"/>
                <w:b w:val="0"/>
                <w:i w:val="0"/>
                <w:color w:val="000000"/>
                <w:sz w:val="20"/>
              </w:rPr>
              <w:t xml:space="preserve">3,613,644.95</w:t>
            </w:r>
          </w:p>
        </w:tc>
        <w:tc>
          <w:tcPr>
            <w:tcW w:w="1698" w:type="dxa"/>
            <w:tcBorders/>
            <w:vAlign w:val="center"/>
          </w:tcPr>
          <w:p>
            <w:pPr>
              <w:snapToGrid w:val="0"/>
              <w:jc w:val="right"/>
            </w:pPr>
            <w:r>
              <w:rPr>
                <w:rFonts w:ascii="宋体" w:eastAsia="宋体" w:hAnsi="宋体" w:cs="宋体"/>
                <w:b w:val="0"/>
                <w:i w:val="0"/>
                <w:color w:val="000000"/>
                <w:sz w:val="20"/>
              </w:rPr>
              <w:t xml:space="preserve">461,580.00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17,658,856.38</w:t>
            </w:r>
          </w:p>
        </w:tc>
        <w:tc>
          <w:tcPr>
            <w:tcW w:w="1720" w:type="dxa"/>
            <w:tcBorders/>
            <w:vAlign w:val="center"/>
          </w:tcPr>
          <w:p>
            <w:pPr>
              <w:snapToGrid w:val="0"/>
              <w:jc w:val="right"/>
            </w:pPr>
            <w:r>
              <w:rPr>
                <w:rFonts w:ascii="宋体" w:eastAsia="宋体" w:hAnsi="宋体" w:cs="宋体"/>
                <w:b w:val="0"/>
                <w:i w:val="0"/>
                <w:color w:val="000000"/>
                <w:sz w:val="20"/>
              </w:rPr>
              <w:t xml:space="preserve">17,658,856.38</w:t>
            </w:r>
          </w:p>
        </w:tc>
        <w:tc>
          <w:tcPr>
            <w:tcW w:w="1720" w:type="dxa"/>
            <w:tcBorders/>
            <w:vAlign w:val="center"/>
          </w:tcPr>
          <w:p>
            <w:pPr>
              <w:snapToGrid w:val="0"/>
              <w:jc w:val="right"/>
            </w:pPr>
            <w:r>
              <w:rPr>
                <w:rFonts w:ascii="宋体" w:eastAsia="宋体" w:hAnsi="宋体" w:cs="宋体"/>
                <w:b w:val="0"/>
                <w:i w:val="0"/>
                <w:color w:val="000000"/>
                <w:sz w:val="20"/>
              </w:rPr>
              <w:t xml:space="preserve">14,045,211.43</w:t>
            </w:r>
          </w:p>
        </w:tc>
        <w:tc>
          <w:tcPr>
            <w:tcW w:w="1720" w:type="dxa"/>
            <w:tcBorders/>
            <w:vAlign w:val="center"/>
          </w:tcPr>
          <w:p>
            <w:pPr>
              <w:snapToGrid w:val="0"/>
              <w:jc w:val="right"/>
            </w:pPr>
            <w:r>
              <w:rPr>
                <w:rFonts w:ascii="宋体" w:eastAsia="宋体" w:hAnsi="宋体" w:cs="宋体"/>
                <w:b w:val="0"/>
                <w:i w:val="0"/>
                <w:color w:val="000000"/>
                <w:sz w:val="20"/>
              </w:rPr>
              <w:t xml:space="preserve">3,613,644.95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17,658,856.38</w:t>
            </w:r>
          </w:p>
        </w:tc>
        <w:tc>
          <w:tcPr>
            <w:tcW w:w="1720" w:type="dxa"/>
            <w:tcBorders/>
            <w:vAlign w:val="center"/>
          </w:tcPr>
          <w:p>
            <w:pPr>
              <w:snapToGrid w:val="0"/>
              <w:jc w:val="right"/>
            </w:pPr>
            <w:r>
              <w:rPr>
                <w:rFonts w:ascii="宋体" w:eastAsia="宋体" w:hAnsi="宋体" w:cs="宋体"/>
                <w:b w:val="0"/>
                <w:i w:val="0"/>
                <w:color w:val="000000"/>
                <w:sz w:val="20"/>
              </w:rPr>
              <w:t xml:space="preserve">17,658,856.38</w:t>
            </w:r>
          </w:p>
        </w:tc>
        <w:tc>
          <w:tcPr>
            <w:tcW w:w="1720" w:type="dxa"/>
            <w:tcBorders/>
            <w:vAlign w:val="center"/>
          </w:tcPr>
          <w:p>
            <w:pPr>
              <w:snapToGrid w:val="0"/>
              <w:jc w:val="right"/>
            </w:pPr>
            <w:r>
              <w:rPr>
                <w:rFonts w:ascii="宋体" w:eastAsia="宋体" w:hAnsi="宋体" w:cs="宋体"/>
                <w:b w:val="0"/>
                <w:i w:val="0"/>
                <w:color w:val="000000"/>
                <w:sz w:val="20"/>
              </w:rPr>
              <w:t xml:space="preserve">14,045,211.43</w:t>
            </w:r>
          </w:p>
        </w:tc>
        <w:tc>
          <w:tcPr>
            <w:tcW w:w="1720" w:type="dxa"/>
            <w:tcBorders/>
            <w:vAlign w:val="center"/>
          </w:tcPr>
          <w:p>
            <w:pPr>
              <w:snapToGrid w:val="0"/>
              <w:jc w:val="right"/>
            </w:pPr>
            <w:r>
              <w:rPr>
                <w:rFonts w:ascii="宋体" w:eastAsia="宋体" w:hAnsi="宋体" w:cs="宋体"/>
                <w:b w:val="0"/>
                <w:i w:val="0"/>
                <w:color w:val="000000"/>
                <w:sz w:val="20"/>
              </w:rPr>
              <w:t xml:space="preserve">3,613,644.95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461,580.00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461,580.00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461,580.00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461,580.00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17,095,774.90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3,601,244.95</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3,001,070.00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3,986,916.97</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39,994.15</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12,400.00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2,454,597.47</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48,000.00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1,500.00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12,400.00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1,366,813.00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350,000.00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746,484.47</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18,900.00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809,140.00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293,588.00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170,535.00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975,000.00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58,269.84</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31,929.07</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3,975,194.15</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173,020.00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526,754.00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42,409.00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26,999.00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41,554.00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snapToGrid w:val="0"/>
              <w:jc w:val="right"/>
            </w:pPr>
            <w:r>
              <w:rPr>
                <w:rFonts w:ascii="宋体" w:eastAsia="宋体" w:hAnsi="宋体" w:cs="宋体"/>
                <w:b w:val="0"/>
                <w:i w:val="0"/>
                <w:color w:val="000000"/>
                <w:sz w:val="14"/>
              </w:rPr>
              <w:t xml:space="preserve">34,484.28</w:t>
            </w: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74,000.00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137,000.00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855.00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120,000.00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93,020.58</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556,809.88</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531,999.99</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17,138,183.90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3,613,644.95</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106,759.20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天津市城市管理综合行政执法总队2024年国有资本经营预算财政拨款收入支出决算表为空表。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93,020.58</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93,020.58</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93,020.58</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568,339.20</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568,339.20</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总队2024年数字执法二级平台运维项目</w:t>
            </w:r>
          </w:p>
        </w:tc>
        <w:tc>
          <w:tcPr>
            <w:tcW w:w="116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snapToGrid w:val="0"/>
              <w:jc w:val="right"/>
            </w:pPr>
            <w:r>
              <w:rPr>
                <w:rFonts w:ascii="宋体" w:eastAsia="宋体" w:hAnsi="宋体" w:cs="宋体"/>
                <w:b w:val="0"/>
                <w:i w:val="0"/>
                <w:color w:val="000000"/>
                <w:sz w:val="14"/>
              </w:rPr>
              <w:t xml:space="preserve">461,580.00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总队2024年执法制式服装配换发项目</w:t>
            </w:r>
          </w:p>
        </w:tc>
        <w:tc>
          <w:tcPr>
            <w:tcW w:w="116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106,759.20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天津市城市管理综合行政执法总队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21,324,695.16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减少410,261.88元，下降1.888%</w:t>
      </w:r>
      <w:r>
        <w:rPr>
          <w:rFonts w:eastAsia="仿宋_GB2312" w:hint="eastAsia"/>
          <w:sz w:val="30"/>
          <w:szCs w:val="30"/>
        </w:rPr>
        <w:t xml:space="preserve">，主要原因是</w:t>
      </w:r>
      <w:r>
        <w:rPr>
          <w:rFonts w:eastAsia="仿宋_GB2312" w:hint="eastAsia"/>
          <w:sz w:val="30"/>
          <w:szCs w:val="30"/>
        </w:rPr>
        <w:t xml:space="preserve">2024年度减少了项目支出。</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一般公共预算财政拨款收入21,213,408.85元、政府性基金预算财政拨款收入106,759.20元、其他收入332.19元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社会保障和就业支出2,113,297.47元、卫生健康支出979,675.00元、城乡社区支出18,229,764.50元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天津市城市管理综合行政执法总队</w:t>
      </w:r>
      <w:r>
        <w:rPr>
          <w:rFonts w:eastAsia="仿宋_GB2312" w:hint="eastAsia"/>
          <w:sz w:val="30"/>
          <w:szCs w:val="30"/>
        </w:rPr>
        <w:t xml:space="preserve">2024年度本年收入合计</w:t>
      </w:r>
      <w:r>
        <w:rPr>
          <w:rFonts w:eastAsia="仿宋_GB2312" w:hint="eastAsia"/>
          <w:sz w:val="30"/>
          <w:szCs w:val="30"/>
        </w:rPr>
        <w:t xml:space="preserve">21,320,500.24</w:t>
      </w:r>
      <w:r>
        <w:rPr>
          <w:rFonts w:eastAsia="仿宋_GB2312" w:hint="eastAsia"/>
          <w:sz w:val="30"/>
          <w:szCs w:val="30"/>
        </w:rPr>
        <w:t xml:space="preserve">元，与2023年度相比</w:t>
      </w:r>
      <w:r>
        <w:rPr>
          <w:rFonts w:eastAsia="仿宋_GB2312" w:hint="eastAsia"/>
          <w:sz w:val="30"/>
          <w:szCs w:val="30"/>
        </w:rPr>
        <w:t xml:space="preserve">减少400,716.01元，</w:t>
      </w:r>
      <w:r>
        <w:rPr>
          <w:rFonts w:eastAsia="仿宋_GB2312" w:hint="eastAsia"/>
          <w:sz w:val="30"/>
          <w:szCs w:val="30"/>
        </w:rPr>
        <w:t xml:space="preserve">主要原因是</w:t>
      </w:r>
      <w:r>
        <w:rPr>
          <w:rFonts w:eastAsia="仿宋_GB2312" w:hint="eastAsia"/>
          <w:sz w:val="30"/>
          <w:szCs w:val="30"/>
        </w:rPr>
        <w:t xml:space="preserve">2024年较2023年项目数减少，因此收入合计减少。</w:t>
      </w:r>
      <w:r>
        <w:rPr>
          <w:rFonts w:eastAsia="仿宋_GB2312" w:hint="eastAsia"/>
          <w:sz w:val="30"/>
          <w:szCs w:val="30"/>
        </w:rPr>
        <w:t xml:space="preserve">。其中：</w:t>
      </w:r>
      <w:r>
        <w:rPr>
          <w:rFonts w:eastAsia="仿宋_GB2312" w:hint="eastAsia"/>
          <w:sz w:val="30"/>
          <w:szCs w:val="30"/>
        </w:rPr>
        <w:t xml:space="preserve">一般公共预算财政拨款收入21,213,408.85元，占99.498%；政府性基金预算财政拨款收入106,759.20元，占0.501%；其他收入332.19元，占0.002%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天津市城市管理综合行政执法总队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21,322,736.97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减少408,025.15元，</w:t>
      </w:r>
      <w:r>
        <w:rPr>
          <w:rFonts w:eastAsia="仿宋_GB2312" w:hint="eastAsia"/>
          <w:sz w:val="30"/>
          <w:szCs w:val="30"/>
        </w:rPr>
        <w:t xml:space="preserve">主要原因是</w:t>
      </w:r>
      <w:r>
        <w:rPr>
          <w:rFonts w:eastAsia="仿宋_GB2312" w:hint="eastAsia"/>
          <w:sz w:val="30"/>
          <w:szCs w:val="30"/>
        </w:rPr>
        <w:t xml:space="preserve">2024年较2023年项目减少，因此支出合计减少。</w:t>
      </w:r>
      <w:r>
        <w:rPr>
          <w:rFonts w:eastAsia="仿宋_GB2312" w:hint="eastAsia"/>
          <w:sz w:val="30"/>
          <w:szCs w:val="30"/>
        </w:rPr>
        <w:t xml:space="preserve">。其中：</w:t>
      </w:r>
      <w:r>
        <w:rPr>
          <w:rFonts w:eastAsia="仿宋_GB2312" w:hint="eastAsia"/>
          <w:sz w:val="30"/>
          <w:szCs w:val="30"/>
        </w:rPr>
        <w:t xml:space="preserve">基本支出20,754,397.77元，占97.335%；项目支出568,339.20元，占2.665%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天津市城市管理综合行政执法总队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21,320,168.05</w:t>
      </w:r>
      <w:r>
        <w:rPr>
          <w:rFonts w:eastAsia="仿宋_GB2312" w:hint="eastAsia"/>
          <w:sz w:val="30"/>
          <w:szCs w:val="30"/>
        </w:rPr>
        <w:t xml:space="preserve">元。与2023年度相比，财政拨款收、支总计各</w:t>
      </w:r>
      <w:r>
        <w:rPr>
          <w:rFonts w:eastAsia="仿宋_GB2312" w:hint="eastAsia"/>
          <w:sz w:val="30"/>
          <w:szCs w:val="30"/>
        </w:rPr>
        <w:t xml:space="preserve">减少400,558.07元，下降1.844%，</w:t>
      </w:r>
      <w:r>
        <w:rPr>
          <w:rFonts w:eastAsia="仿宋_GB2312" w:hint="eastAsia"/>
          <w:sz w:val="30"/>
          <w:szCs w:val="30"/>
        </w:rPr>
        <w:t xml:space="preserve">主要原因是</w:t>
      </w:r>
      <w:r>
        <w:rPr>
          <w:rFonts w:eastAsia="仿宋_GB2312" w:hint="eastAsia"/>
          <w:sz w:val="30"/>
          <w:szCs w:val="30"/>
        </w:rPr>
        <w:t xml:space="preserve">2024年较2023年项目支出减少，因此财政拨款收入支出减少。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一般公共预算财政拨款21,213,408.85元、政府性基金预算财政拨款106,759.20元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社会保障和就业支出2,113,297.47元、卫生健康支出979,675.00元、城乡社区支出18,227,195.58元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天津市城市管理综合行政执法总队2024年度部门决算一般公共预算财政拨款支出合计21,213,408.85元，占本年支出合计的99.487%。与2023年度相比，一般公共预算财政拨款支出</w:t>
      </w:r>
      <w:r>
        <w:rPr>
          <w:rFonts w:eastAsia="仿宋_GB2312" w:hint="eastAsia"/>
          <w:sz w:val="30"/>
          <w:szCs w:val="30"/>
        </w:rPr>
        <w:t xml:space="preserve">减少307,317.27元</w:t>
      </w:r>
      <w:r>
        <w:rPr>
          <w:rFonts w:eastAsia="仿宋_GB2312" w:hint="eastAsia"/>
          <w:sz w:val="30"/>
          <w:szCs w:val="30"/>
        </w:rPr>
        <w:t xml:space="preserve">，下降1.428%</w:t>
      </w:r>
      <w:r>
        <w:rPr>
          <w:rFonts w:eastAsia="仿宋_GB2312" w:hint="eastAsia"/>
          <w:sz w:val="30"/>
          <w:szCs w:val="30"/>
        </w:rPr>
        <w:t xml:space="preserve">，主要原因是2024年较2023年项目支出减少，因此一般公共预算支出减少。。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2024年度一般公共预算财政拨款支出21,213,408.85元，主要用于以下方面：</w:t>
      </w:r>
      <w:r>
        <w:rPr>
          <w:rFonts w:eastAsia="仿宋_GB2312" w:hint="eastAsia"/>
          <w:sz w:val="30"/>
          <w:szCs w:val="30"/>
        </w:rPr>
        <w:t xml:space="preserve">社会保障和就业支出（类）支出2,113,297.47元，占9.962%,卫生健康支出（类）支出979,675.00元，占4.618%,城乡社区支出（类）支出18,120,436.38元，占85.420%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2024年度一般公共预算财政拨款支出年初预算为21,072,000.00元，支出决算为21,213,408.85元</w:t>
      </w:r>
      <w:r>
        <w:rPr>
          <w:rFonts w:eastAsia="仿宋_GB2312" w:hint="eastAsia"/>
          <w:sz w:val="30"/>
          <w:szCs w:val="30"/>
        </w:rPr>
        <w:t xml:space="preserve">，完成年初预算的100.671%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1,389,000.00元，支出决算为1,366,813.00元，完成年初预算的98.403%，决算数小于预算数的主要原因是：由于人员增减，养老保险缴费支出与职业年金支出预算进行了动态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695,000.00元，支出决算为746,484.47元，完成年初预算的107.408%，决算数大于预算数的主要原因是：由于人员增减，养老保险缴费支出与职业年金支出预算进行了动态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3.卫生健康支出（类）行政事业单位医疗（款）行政单位医疗（项）年初预算为868,000.00元，支出决算为809,140.00元，完成年初预算的93.219%，决算数小于预算数的主要原因是：2024年退休1人，医疗保险支出减少。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公务员医疗补助（项）年初预算为174,000.00元，支出决算为170,535.00元，完成年初预算的98.009%，决算数小于预算数的主要原因是：2024年退休1人，公务员医疗补助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行政运行（项）年初预算为17,473,000.00元，支出决算为17,658,856.38元，完成年初预算的101.064%，决算数大于预算数的主要原因是：由于2024年度划转到总队的46名事业编制人员，预算仍下达到原单位，为保证正常运转，总队与划转单位进行了公用预算调剂，导致年终决算数大于年初预算数。。</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城乡社区支出（类）城乡社区公共设施（款）其他城乡社区公共设施支出（项）年初预算为473,000.00元，支出决算为461,580.00元，完成年初预算的97.586%，决算数小于预算数的主要原因是：总队二级平台项目结算以实际中标金额为准，因此略低于年初预算。</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天津市城市管理综合行政执法总队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20,751,828.85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增加217,102.73元，</w:t>
      </w:r>
      <w:r>
        <w:rPr>
          <w:rFonts w:eastAsia="仿宋_GB2312" w:hint="eastAsia"/>
          <w:sz w:val="30"/>
          <w:szCs w:val="30"/>
        </w:rPr>
        <w:t xml:space="preserve">主要原因是</w:t>
      </w:r>
      <w:r>
        <w:rPr>
          <w:rFonts w:eastAsia="仿宋_GB2312" w:hint="eastAsia"/>
          <w:sz w:val="30"/>
          <w:szCs w:val="30"/>
        </w:rPr>
        <w:t xml:space="preserve">2024年总队晋职晋档人员增加，导致人员经费支出增加。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人员经费17,138,183.90元，主要包括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公用经费3,613,644.95元，主要包括</w:t>
      </w:r>
      <w:r>
        <w:rPr>
          <w:rFonts w:eastAsia="仿宋_GB2312" w:hint="eastAsia"/>
          <w:sz w:val="30"/>
          <w:szCs w:val="30"/>
        </w:rPr>
        <w:t xml:space="preserve">办公费、印刷费、咨询费、手续费、水费、电费、邮电费、取暖费、物业管理费、差旅费、维修（护）费、培训费、专用燃料费、劳务费、委托业务费、工会经费、福利费、公务用车运行维护费、其他交通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天津市城市管理综合行政执法总队2024年度部门决算政府性基金预算财政拨款年初结转和结余0.00元，收入106,759.20元，支出106,759.20元，年末结转和结余0.00元。与2023年度相比，政府性基金预算财政拨款支出</w:t>
      </w:r>
      <w:r>
        <w:rPr>
          <w:rFonts w:eastAsia="仿宋_GB2312" w:hint="eastAsia"/>
          <w:sz w:val="30"/>
          <w:szCs w:val="30"/>
        </w:rPr>
        <w:t xml:space="preserve">减少93,240.80元，</w:t>
      </w:r>
      <w:r>
        <w:rPr>
          <w:rFonts w:eastAsia="仿宋_GB2312" w:hint="eastAsia"/>
          <w:sz w:val="30"/>
          <w:szCs w:val="30"/>
        </w:rPr>
        <w:t xml:space="preserve">主要原因是2024年使用政府性基金的项目比2023年减少。。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2024年度政府性基金预算财政拨款支出106,759.20元，主要用于以下方面：</w:t>
      </w:r>
      <w:r>
        <w:rPr>
          <w:rFonts w:eastAsia="仿宋_GB2312" w:hint="eastAsia"/>
          <w:sz w:val="30"/>
          <w:szCs w:val="30"/>
        </w:rPr>
        <w:t xml:space="preserve">城乡社区支出（类）支出106,759.20元，占100.000%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2024年度政府性基金预算财政拨款支出年初预算为110,000.00元，支出决算为106,759.20元</w:t>
      </w:r>
      <w:r>
        <w:rPr>
          <w:rFonts w:eastAsia="仿宋_GB2312" w:hint="eastAsia"/>
          <w:sz w:val="30"/>
          <w:szCs w:val="30"/>
        </w:rPr>
        <w:t xml:space="preserve">，完成年初预算的97.054%</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110,000.00元，支出决算为106,759.20元，完成年初预算的97.054%，决算数小于预算数的主要原因是：主要用于总队2024年度执法服装配换发支出，结算费用以实际采购价格为准，因此略低于预算数。</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天津市城市管理综合行政执法总队2024年度无国有资本经营预算财政拨款收入、支出和结转结余。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117,000.00</w:t>
      </w:r>
      <w:r>
        <w:rPr>
          <w:rFonts w:eastAsia="仿宋_GB2312" w:hint="eastAsia"/>
          <w:sz w:val="30"/>
          <w:szCs w:val="30"/>
        </w:rPr>
        <w:t xml:space="preserve">元，支出决算</w:t>
      </w:r>
      <w:r>
        <w:rPr>
          <w:rFonts w:eastAsia="仿宋_GB2312" w:hint="eastAsia"/>
          <w:sz w:val="30"/>
          <w:szCs w:val="30"/>
        </w:rPr>
        <w:t xml:space="preserve">93,020.58</w:t>
      </w:r>
      <w:r>
        <w:rPr>
          <w:rFonts w:eastAsia="仿宋_GB2312" w:hint="eastAsia"/>
          <w:sz w:val="30"/>
          <w:szCs w:val="30"/>
        </w:rPr>
        <w:t xml:space="preserve">元，与2024年预算相比</w:t>
      </w:r>
      <w:r>
        <w:rPr>
          <w:rFonts w:eastAsia="仿宋_GB2312" w:hint="eastAsia"/>
          <w:sz w:val="30"/>
          <w:szCs w:val="30"/>
        </w:rPr>
        <w:t xml:space="preserve">减少23,979.42元</w:t>
      </w:r>
      <w:r>
        <w:rPr>
          <w:rFonts w:eastAsia="仿宋_GB2312" w:hint="eastAsia"/>
          <w:sz w:val="30"/>
          <w:szCs w:val="30"/>
        </w:rPr>
        <w:t xml:space="preserve">，完成预算的79.505%</w:t>
      </w:r>
      <w:r>
        <w:rPr>
          <w:rFonts w:eastAsia="仿宋_GB2312" w:hint="eastAsia"/>
          <w:sz w:val="30"/>
          <w:szCs w:val="30"/>
        </w:rPr>
        <w:t xml:space="preserve">；</w:t>
      </w:r>
      <w:r>
        <w:rPr>
          <w:rFonts w:eastAsia="仿宋_GB2312" w:hint="eastAsia"/>
          <w:sz w:val="30"/>
          <w:szCs w:val="30"/>
        </w:rPr>
        <w:t xml:space="preserve">支出决算较上年减少35,518.65元</w:t>
      </w:r>
      <w:r>
        <w:rPr>
          <w:rFonts w:eastAsia="仿宋_GB2312" w:hint="eastAsia"/>
          <w:sz w:val="30"/>
          <w:szCs w:val="30"/>
        </w:rPr>
        <w:t xml:space="preserve">，下降27.633%</w:t>
      </w:r>
      <w:r>
        <w:rPr>
          <w:rFonts w:eastAsia="仿宋_GB2312" w:hint="eastAsia"/>
          <w:sz w:val="30"/>
          <w:szCs w:val="30"/>
        </w:rPr>
        <w:t xml:space="preserve">。</w:t>
      </w:r>
      <w:r>
        <w:rPr>
          <w:rFonts w:eastAsia="仿宋_GB2312" w:hint="eastAsia"/>
          <w:sz w:val="30"/>
          <w:szCs w:val="30"/>
        </w:rPr>
        <w:t xml:space="preserve">决算数小于预算数的主要原因是公车运行维护费按照实际情况支出，低于年初预算数，因公出国（境）及公务接待费做了预算调整未产生收入和支；</w:t>
      </w:r>
      <w:r>
        <w:rPr>
          <w:rFonts w:eastAsia="仿宋_GB2312" w:hint="eastAsia"/>
          <w:sz w:val="30"/>
          <w:szCs w:val="30"/>
        </w:rPr>
        <w:t xml:space="preserve">决算数较上年减少的主要原因是2024年度公车燃油消耗较2023年略有降低。。</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117,000.00</w:t>
      </w:r>
      <w:r>
        <w:rPr>
          <w:rFonts w:eastAsia="仿宋_GB2312" w:hint="eastAsia"/>
          <w:sz w:val="30"/>
          <w:szCs w:val="30"/>
        </w:rPr>
        <w:t xml:space="preserve">元，支出决算</w:t>
      </w:r>
      <w:r>
        <w:rPr>
          <w:rFonts w:eastAsia="仿宋_GB2312" w:hint="eastAsia"/>
          <w:sz w:val="30"/>
          <w:szCs w:val="30"/>
        </w:rPr>
        <w:t xml:space="preserve">93,020.58</w:t>
      </w:r>
      <w:r>
        <w:rPr>
          <w:rFonts w:eastAsia="仿宋_GB2312" w:hint="eastAsia"/>
          <w:sz w:val="30"/>
          <w:szCs w:val="30"/>
        </w:rPr>
        <w:t xml:space="preserve">元，与预算相比</w:t>
      </w:r>
      <w:r>
        <w:rPr>
          <w:rFonts w:eastAsia="仿宋_GB2312" w:hint="eastAsia"/>
          <w:sz w:val="30"/>
          <w:szCs w:val="30"/>
        </w:rPr>
        <w:t xml:space="preserve">减少23,979.42元</w:t>
      </w:r>
      <w:r>
        <w:rPr>
          <w:rFonts w:eastAsia="仿宋_GB2312" w:hint="eastAsia"/>
          <w:sz w:val="30"/>
          <w:szCs w:val="30"/>
        </w:rPr>
        <w:t xml:space="preserve">，完成预算的79.505%</w:t>
      </w:r>
      <w:r>
        <w:rPr>
          <w:rFonts w:eastAsia="仿宋_GB2312" w:hint="eastAsia"/>
          <w:sz w:val="30"/>
          <w:szCs w:val="30"/>
        </w:rPr>
        <w:t xml:space="preserve">；</w:t>
      </w:r>
      <w:r>
        <w:rPr>
          <w:rFonts w:eastAsia="仿宋_GB2312" w:hint="eastAsia"/>
          <w:sz w:val="30"/>
          <w:szCs w:val="30"/>
        </w:rPr>
        <w:t xml:space="preserve">支出决算较上年减少35,518.65元</w:t>
      </w:r>
      <w:r>
        <w:rPr>
          <w:rFonts w:eastAsia="仿宋_GB2312" w:hint="eastAsia"/>
          <w:sz w:val="30"/>
          <w:szCs w:val="30"/>
        </w:rPr>
        <w:t xml:space="preserve">，下降27.633%</w:t>
      </w:r>
      <w:r>
        <w:rPr>
          <w:rFonts w:eastAsia="仿宋_GB2312" w:hint="eastAsia"/>
          <w:sz w:val="30"/>
          <w:szCs w:val="30"/>
        </w:rPr>
        <w:t xml:space="preserve">。</w:t>
      </w:r>
      <w:r>
        <w:rPr>
          <w:rFonts w:eastAsia="仿宋_GB2312" w:hint="eastAsia"/>
          <w:sz w:val="30"/>
          <w:szCs w:val="30"/>
        </w:rPr>
        <w:t xml:space="preserve">决算数小于预算数的主要原因是公车运行维护费按照实际情况支出，未全部支出；</w:t>
      </w:r>
      <w:r>
        <w:rPr>
          <w:rFonts w:eastAsia="仿宋_GB2312" w:hint="eastAsia"/>
          <w:sz w:val="30"/>
          <w:szCs w:val="30"/>
        </w:rPr>
        <w:t xml:space="preserve">决算数较上年减少的主要原因是按照过紧日子要求，压减开支。</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117,000.00</w:t>
      </w:r>
      <w:r>
        <w:rPr>
          <w:rFonts w:eastAsia="仿宋_GB2312" w:hint="eastAsia"/>
          <w:sz w:val="30"/>
          <w:szCs w:val="30"/>
        </w:rPr>
        <w:t xml:space="preserve">元，支出决算</w:t>
      </w:r>
      <w:r>
        <w:rPr>
          <w:rFonts w:eastAsia="仿宋_GB2312" w:hint="eastAsia"/>
          <w:sz w:val="30"/>
          <w:szCs w:val="30"/>
        </w:rPr>
        <w:t xml:space="preserve">93,020.58</w:t>
      </w:r>
      <w:r>
        <w:rPr>
          <w:rFonts w:eastAsia="仿宋_GB2312" w:hint="eastAsia"/>
          <w:sz w:val="30"/>
          <w:szCs w:val="30"/>
        </w:rPr>
        <w:t xml:space="preserve">元，与预算相比</w:t>
      </w:r>
      <w:r>
        <w:rPr>
          <w:rFonts w:eastAsia="仿宋_GB2312" w:hint="eastAsia"/>
          <w:sz w:val="30"/>
          <w:szCs w:val="30"/>
        </w:rPr>
        <w:t xml:space="preserve">减少23,979.42元</w:t>
      </w:r>
      <w:r>
        <w:rPr>
          <w:rFonts w:eastAsia="仿宋_GB2312" w:hint="eastAsia"/>
          <w:sz w:val="30"/>
          <w:szCs w:val="30"/>
        </w:rPr>
        <w:t xml:space="preserve">，完成预算的79.505%</w:t>
      </w:r>
      <w:r>
        <w:rPr>
          <w:rFonts w:eastAsia="仿宋_GB2312" w:hint="eastAsia"/>
          <w:sz w:val="30"/>
          <w:szCs w:val="30"/>
        </w:rPr>
        <w:t xml:space="preserve">；</w:t>
      </w:r>
      <w:r>
        <w:rPr>
          <w:rFonts w:eastAsia="仿宋_GB2312" w:hint="eastAsia"/>
          <w:sz w:val="30"/>
          <w:szCs w:val="30"/>
        </w:rPr>
        <w:t xml:space="preserve">支出决算较上年减少35,518.65元</w:t>
      </w:r>
      <w:r>
        <w:rPr>
          <w:rFonts w:eastAsia="仿宋_GB2312" w:hint="eastAsia"/>
          <w:sz w:val="30"/>
          <w:szCs w:val="30"/>
        </w:rPr>
        <w:t xml:space="preserve">，下降27.633%</w:t>
      </w:r>
      <w:r>
        <w:rPr>
          <w:rFonts w:eastAsia="仿宋_GB2312" w:hint="eastAsia"/>
          <w:sz w:val="30"/>
          <w:szCs w:val="30"/>
        </w:rPr>
        <w:t xml:space="preserve">。</w:t>
      </w:r>
      <w:r>
        <w:rPr>
          <w:rFonts w:eastAsia="仿宋_GB2312" w:hint="eastAsia"/>
          <w:sz w:val="30"/>
          <w:szCs w:val="30"/>
        </w:rPr>
        <w:t xml:space="preserve">决算数小于预算数的主要原因是公车运行维护费按照实际情况支出，未全部支出；</w:t>
      </w:r>
      <w:r>
        <w:rPr>
          <w:rFonts w:eastAsia="仿宋_GB2312" w:hint="eastAsia"/>
          <w:sz w:val="30"/>
          <w:szCs w:val="30"/>
        </w:rPr>
        <w:t xml:space="preserve">决算数较上年减少的主要原因是按照过紧日子要求，压减开支。</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16</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城市管理综合行政执法总队2024年度机关运行经费年初预算3,300,000.00元，决算数3,613,644.95元，与年初预算相比</w:t>
      </w:r>
      <w:r>
        <w:rPr>
          <w:rFonts w:eastAsia="仿宋_GB2312" w:hint="eastAsia"/>
          <w:sz w:val="30"/>
          <w:szCs w:val="30"/>
        </w:rPr>
        <w:t xml:space="preserve">增加313,644.95元，</w:t>
      </w:r>
      <w:r>
        <w:rPr>
          <w:rFonts w:eastAsia="仿宋_GB2312" w:hint="eastAsia"/>
          <w:sz w:val="30"/>
          <w:szCs w:val="30"/>
        </w:rPr>
        <w:t xml:space="preserve">完成年初预算的109.504%；</w:t>
      </w:r>
      <w:r>
        <w:rPr>
          <w:rFonts w:eastAsia="仿宋_GB2312" w:hint="eastAsia"/>
          <w:sz w:val="30"/>
          <w:szCs w:val="30"/>
        </w:rPr>
        <w:t xml:space="preserve">比2023年减少167,156.03元</w:t>
      </w:r>
      <w:r>
        <w:rPr>
          <w:rFonts w:eastAsia="仿宋_GB2312" w:hint="eastAsia"/>
          <w:sz w:val="30"/>
          <w:szCs w:val="30"/>
        </w:rPr>
        <w:t xml:space="preserve">，下降4.421%</w:t>
      </w:r>
      <w:r>
        <w:rPr>
          <w:rFonts w:eastAsia="仿宋_GB2312" w:hint="eastAsia"/>
          <w:sz w:val="30"/>
          <w:szCs w:val="30"/>
        </w:rPr>
        <w:t xml:space="preserve">，主要原因是：落实政府过紧日子要求，实现公用经费支出逐年压减。</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城市管理综合行政执法总队2024年政府采购支出总额510,010.04元，其中：政府采购货物支出12,485.00元、政府采购工程支出0.00元、政府采购服务支出497,525.04元。授予中小企业合同金额510,010.04元，占政府采购支出总额的100.000%，其中：授予小微企业合同金额510,010.04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天津市城市管理综合行政执法总队2024年度无国有资产占有使用情况。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根据预算绩效管理要求，天津市城市管理综合行政执法总队2024年度已对2个市级项目开展绩效自评，涉及金额568339.2元，自评结果已随部门决算一并公开。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天津市城市管理综合行政执法总队2024年度无教育、医疗卫生、社会保障和就业、住房保障、涉农补贴等民生支出情况。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